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3BB5E" w14:textId="55A1B0DB" w:rsidR="00010902" w:rsidRDefault="00FE37F2" w:rsidP="00FE37F2">
      <w:pPr>
        <w:pStyle w:val="Titel"/>
      </w:pPr>
      <w:r>
        <w:t xml:space="preserve">Toezichtvisie </w:t>
      </w:r>
      <w:r w:rsidR="005073C5">
        <w:t>Raad van Toezicht</w:t>
      </w:r>
      <w:r>
        <w:t xml:space="preserve"> CCE</w:t>
      </w:r>
    </w:p>
    <w:p w14:paraId="372DDB8C" w14:textId="77777777" w:rsidR="00FE37F2" w:rsidRDefault="00FE37F2" w:rsidP="00FE37F2"/>
    <w:sdt>
      <w:sdtPr>
        <w:rPr>
          <w:rFonts w:asciiTheme="minorHAnsi" w:eastAsiaTheme="minorHAnsi" w:hAnsiTheme="minorHAnsi" w:cstheme="minorBidi"/>
          <w:color w:val="auto"/>
          <w:sz w:val="20"/>
          <w:szCs w:val="22"/>
          <w:lang w:eastAsia="en-US"/>
        </w:rPr>
        <w:id w:val="-732686679"/>
        <w:docPartObj>
          <w:docPartGallery w:val="Table of Contents"/>
          <w:docPartUnique/>
        </w:docPartObj>
      </w:sdtPr>
      <w:sdtEndPr>
        <w:rPr>
          <w:b/>
          <w:bCs/>
        </w:rPr>
      </w:sdtEndPr>
      <w:sdtContent>
        <w:p w14:paraId="7AA7FE2E" w14:textId="4D8B0AD2" w:rsidR="00BF09BD" w:rsidRDefault="00BF09BD">
          <w:pPr>
            <w:pStyle w:val="Kopvaninhoudsopgave"/>
          </w:pPr>
          <w:r>
            <w:t>Inhoud</w:t>
          </w:r>
        </w:p>
        <w:p w14:paraId="2C287E14" w14:textId="354909BD" w:rsidR="00FC5552" w:rsidRDefault="00BF09BD">
          <w:pPr>
            <w:pStyle w:val="Inhopg1"/>
            <w:tabs>
              <w:tab w:val="left" w:pos="440"/>
              <w:tab w:val="right" w:leader="dot" w:pos="9543"/>
            </w:tabs>
            <w:rPr>
              <w:rFonts w:eastAsiaTheme="minorEastAsia"/>
              <w:noProof/>
              <w:kern w:val="2"/>
              <w:sz w:val="22"/>
              <w:lang w:eastAsia="nl-NL"/>
              <w14:ligatures w14:val="standardContextual"/>
            </w:rPr>
          </w:pPr>
          <w:r>
            <w:fldChar w:fldCharType="begin"/>
          </w:r>
          <w:r>
            <w:instrText xml:space="preserve"> TOC \o "1-3" \h \z \u </w:instrText>
          </w:r>
          <w:r>
            <w:fldChar w:fldCharType="separate"/>
          </w:r>
          <w:hyperlink w:anchor="_Toc147488466" w:history="1">
            <w:r w:rsidR="00FC5552" w:rsidRPr="00545E3E">
              <w:rPr>
                <w:rStyle w:val="Hyperlink"/>
                <w:noProof/>
              </w:rPr>
              <w:t>1.</w:t>
            </w:r>
            <w:r w:rsidR="00FC5552">
              <w:rPr>
                <w:rFonts w:eastAsiaTheme="minorEastAsia"/>
                <w:noProof/>
                <w:kern w:val="2"/>
                <w:sz w:val="22"/>
                <w:lang w:eastAsia="nl-NL"/>
                <w14:ligatures w14:val="standardContextual"/>
              </w:rPr>
              <w:tab/>
            </w:r>
            <w:r w:rsidR="00FC5552" w:rsidRPr="00545E3E">
              <w:rPr>
                <w:rStyle w:val="Hyperlink"/>
                <w:noProof/>
              </w:rPr>
              <w:t>Inleiding</w:t>
            </w:r>
            <w:r w:rsidR="00FC5552">
              <w:rPr>
                <w:noProof/>
                <w:webHidden/>
              </w:rPr>
              <w:tab/>
            </w:r>
            <w:r w:rsidR="00FC5552">
              <w:rPr>
                <w:noProof/>
                <w:webHidden/>
              </w:rPr>
              <w:fldChar w:fldCharType="begin"/>
            </w:r>
            <w:r w:rsidR="00FC5552">
              <w:rPr>
                <w:noProof/>
                <w:webHidden/>
              </w:rPr>
              <w:instrText xml:space="preserve"> PAGEREF _Toc147488466 \h </w:instrText>
            </w:r>
            <w:r w:rsidR="00FC5552">
              <w:rPr>
                <w:noProof/>
                <w:webHidden/>
              </w:rPr>
            </w:r>
            <w:r w:rsidR="00FC5552">
              <w:rPr>
                <w:noProof/>
                <w:webHidden/>
              </w:rPr>
              <w:fldChar w:fldCharType="separate"/>
            </w:r>
            <w:r w:rsidR="00010902">
              <w:rPr>
                <w:noProof/>
                <w:webHidden/>
              </w:rPr>
              <w:t>2</w:t>
            </w:r>
            <w:r w:rsidR="00FC5552">
              <w:rPr>
                <w:noProof/>
                <w:webHidden/>
              </w:rPr>
              <w:fldChar w:fldCharType="end"/>
            </w:r>
          </w:hyperlink>
        </w:p>
        <w:p w14:paraId="287998F6" w14:textId="0F4F2507" w:rsidR="00FC5552" w:rsidRDefault="00000000">
          <w:pPr>
            <w:pStyle w:val="Inhopg1"/>
            <w:tabs>
              <w:tab w:val="left" w:pos="440"/>
              <w:tab w:val="right" w:leader="dot" w:pos="9543"/>
            </w:tabs>
            <w:rPr>
              <w:rFonts w:eastAsiaTheme="minorEastAsia"/>
              <w:noProof/>
              <w:kern w:val="2"/>
              <w:sz w:val="22"/>
              <w:lang w:eastAsia="nl-NL"/>
              <w14:ligatures w14:val="standardContextual"/>
            </w:rPr>
          </w:pPr>
          <w:hyperlink w:anchor="_Toc147488467" w:history="1">
            <w:r w:rsidR="00FC5552" w:rsidRPr="00545E3E">
              <w:rPr>
                <w:rStyle w:val="Hyperlink"/>
                <w:noProof/>
              </w:rPr>
              <w:t>2.</w:t>
            </w:r>
            <w:r w:rsidR="00FC5552">
              <w:rPr>
                <w:rFonts w:eastAsiaTheme="minorEastAsia"/>
                <w:noProof/>
                <w:kern w:val="2"/>
                <w:sz w:val="22"/>
                <w:lang w:eastAsia="nl-NL"/>
                <w14:ligatures w14:val="standardContextual"/>
              </w:rPr>
              <w:tab/>
            </w:r>
            <w:r w:rsidR="00FC5552" w:rsidRPr="00545E3E">
              <w:rPr>
                <w:rStyle w:val="Hyperlink"/>
                <w:noProof/>
              </w:rPr>
              <w:t>Visie en werkwijze CCE</w:t>
            </w:r>
            <w:r w:rsidR="00FC5552">
              <w:rPr>
                <w:noProof/>
                <w:webHidden/>
              </w:rPr>
              <w:tab/>
            </w:r>
            <w:r w:rsidR="00FC5552">
              <w:rPr>
                <w:noProof/>
                <w:webHidden/>
              </w:rPr>
              <w:fldChar w:fldCharType="begin"/>
            </w:r>
            <w:r w:rsidR="00FC5552">
              <w:rPr>
                <w:noProof/>
                <w:webHidden/>
              </w:rPr>
              <w:instrText xml:space="preserve"> PAGEREF _Toc147488467 \h </w:instrText>
            </w:r>
            <w:r w:rsidR="00FC5552">
              <w:rPr>
                <w:noProof/>
                <w:webHidden/>
              </w:rPr>
            </w:r>
            <w:r w:rsidR="00FC5552">
              <w:rPr>
                <w:noProof/>
                <w:webHidden/>
              </w:rPr>
              <w:fldChar w:fldCharType="separate"/>
            </w:r>
            <w:r w:rsidR="00010902">
              <w:rPr>
                <w:noProof/>
                <w:webHidden/>
              </w:rPr>
              <w:t>2</w:t>
            </w:r>
            <w:r w:rsidR="00FC5552">
              <w:rPr>
                <w:noProof/>
                <w:webHidden/>
              </w:rPr>
              <w:fldChar w:fldCharType="end"/>
            </w:r>
          </w:hyperlink>
        </w:p>
        <w:p w14:paraId="5BEDEB15" w14:textId="09462FE1" w:rsidR="00FC5552" w:rsidRDefault="00000000">
          <w:pPr>
            <w:pStyle w:val="Inhopg1"/>
            <w:tabs>
              <w:tab w:val="left" w:pos="440"/>
              <w:tab w:val="right" w:leader="dot" w:pos="9543"/>
            </w:tabs>
            <w:rPr>
              <w:rFonts w:eastAsiaTheme="minorEastAsia"/>
              <w:noProof/>
              <w:kern w:val="2"/>
              <w:sz w:val="22"/>
              <w:lang w:eastAsia="nl-NL"/>
              <w14:ligatures w14:val="standardContextual"/>
            </w:rPr>
          </w:pPr>
          <w:hyperlink w:anchor="_Toc147488468" w:history="1">
            <w:r w:rsidR="00FC5552" w:rsidRPr="00545E3E">
              <w:rPr>
                <w:rStyle w:val="Hyperlink"/>
                <w:noProof/>
              </w:rPr>
              <w:t>3.</w:t>
            </w:r>
            <w:r w:rsidR="00FC5552">
              <w:rPr>
                <w:rFonts w:eastAsiaTheme="minorEastAsia"/>
                <w:noProof/>
                <w:kern w:val="2"/>
                <w:sz w:val="22"/>
                <w:lang w:eastAsia="nl-NL"/>
                <w14:ligatures w14:val="standardContextual"/>
              </w:rPr>
              <w:tab/>
            </w:r>
            <w:r w:rsidR="00FC5552" w:rsidRPr="00545E3E">
              <w:rPr>
                <w:rStyle w:val="Hyperlink"/>
                <w:noProof/>
              </w:rPr>
              <w:t>Kerncompetenties CCE</w:t>
            </w:r>
            <w:r w:rsidR="00FC5552">
              <w:rPr>
                <w:noProof/>
                <w:webHidden/>
              </w:rPr>
              <w:tab/>
            </w:r>
            <w:r w:rsidR="00FC5552">
              <w:rPr>
                <w:noProof/>
                <w:webHidden/>
              </w:rPr>
              <w:fldChar w:fldCharType="begin"/>
            </w:r>
            <w:r w:rsidR="00FC5552">
              <w:rPr>
                <w:noProof/>
                <w:webHidden/>
              </w:rPr>
              <w:instrText xml:space="preserve"> PAGEREF _Toc147488468 \h </w:instrText>
            </w:r>
            <w:r w:rsidR="00FC5552">
              <w:rPr>
                <w:noProof/>
                <w:webHidden/>
              </w:rPr>
            </w:r>
            <w:r w:rsidR="00FC5552">
              <w:rPr>
                <w:noProof/>
                <w:webHidden/>
              </w:rPr>
              <w:fldChar w:fldCharType="separate"/>
            </w:r>
            <w:r w:rsidR="00010902">
              <w:rPr>
                <w:noProof/>
                <w:webHidden/>
              </w:rPr>
              <w:t>3</w:t>
            </w:r>
            <w:r w:rsidR="00FC5552">
              <w:rPr>
                <w:noProof/>
                <w:webHidden/>
              </w:rPr>
              <w:fldChar w:fldCharType="end"/>
            </w:r>
          </w:hyperlink>
        </w:p>
        <w:p w14:paraId="51607D0A" w14:textId="07C47F9D" w:rsidR="00FC5552" w:rsidRDefault="00000000">
          <w:pPr>
            <w:pStyle w:val="Inhopg1"/>
            <w:tabs>
              <w:tab w:val="left" w:pos="440"/>
              <w:tab w:val="right" w:leader="dot" w:pos="9543"/>
            </w:tabs>
            <w:rPr>
              <w:rFonts w:eastAsiaTheme="minorEastAsia"/>
              <w:noProof/>
              <w:kern w:val="2"/>
              <w:sz w:val="22"/>
              <w:lang w:eastAsia="nl-NL"/>
              <w14:ligatures w14:val="standardContextual"/>
            </w:rPr>
          </w:pPr>
          <w:hyperlink w:anchor="_Toc147488469" w:history="1">
            <w:r w:rsidR="00FC5552" w:rsidRPr="00545E3E">
              <w:rPr>
                <w:rStyle w:val="Hyperlink"/>
                <w:noProof/>
              </w:rPr>
              <w:t>4.</w:t>
            </w:r>
            <w:r w:rsidR="00FC5552">
              <w:rPr>
                <w:rFonts w:eastAsiaTheme="minorEastAsia"/>
                <w:noProof/>
                <w:kern w:val="2"/>
                <w:sz w:val="22"/>
                <w:lang w:eastAsia="nl-NL"/>
                <w14:ligatures w14:val="standardContextual"/>
              </w:rPr>
              <w:tab/>
            </w:r>
            <w:r w:rsidR="00FC5552" w:rsidRPr="00545E3E">
              <w:rPr>
                <w:rStyle w:val="Hyperlink"/>
                <w:noProof/>
              </w:rPr>
              <w:t>Invulling toezichthoudende taak</w:t>
            </w:r>
            <w:r w:rsidR="00FC5552">
              <w:rPr>
                <w:noProof/>
                <w:webHidden/>
              </w:rPr>
              <w:tab/>
            </w:r>
            <w:r w:rsidR="00FC5552">
              <w:rPr>
                <w:noProof/>
                <w:webHidden/>
              </w:rPr>
              <w:fldChar w:fldCharType="begin"/>
            </w:r>
            <w:r w:rsidR="00FC5552">
              <w:rPr>
                <w:noProof/>
                <w:webHidden/>
              </w:rPr>
              <w:instrText xml:space="preserve"> PAGEREF _Toc147488469 \h </w:instrText>
            </w:r>
            <w:r w:rsidR="00FC5552">
              <w:rPr>
                <w:noProof/>
                <w:webHidden/>
              </w:rPr>
            </w:r>
            <w:r w:rsidR="00FC5552">
              <w:rPr>
                <w:noProof/>
                <w:webHidden/>
              </w:rPr>
              <w:fldChar w:fldCharType="separate"/>
            </w:r>
            <w:r w:rsidR="00010902">
              <w:rPr>
                <w:noProof/>
                <w:webHidden/>
              </w:rPr>
              <w:t>3</w:t>
            </w:r>
            <w:r w:rsidR="00FC5552">
              <w:rPr>
                <w:noProof/>
                <w:webHidden/>
              </w:rPr>
              <w:fldChar w:fldCharType="end"/>
            </w:r>
          </w:hyperlink>
        </w:p>
        <w:p w14:paraId="7DA9BE7F" w14:textId="456E8B10" w:rsidR="00FC5552" w:rsidRDefault="00000000">
          <w:pPr>
            <w:pStyle w:val="Inhopg1"/>
            <w:tabs>
              <w:tab w:val="left" w:pos="440"/>
              <w:tab w:val="right" w:leader="dot" w:pos="9543"/>
            </w:tabs>
            <w:rPr>
              <w:rFonts w:eastAsiaTheme="minorEastAsia"/>
              <w:noProof/>
              <w:kern w:val="2"/>
              <w:sz w:val="22"/>
              <w:lang w:eastAsia="nl-NL"/>
              <w14:ligatures w14:val="standardContextual"/>
            </w:rPr>
          </w:pPr>
          <w:hyperlink w:anchor="_Toc147488470" w:history="1">
            <w:r w:rsidR="00FC5552" w:rsidRPr="00545E3E">
              <w:rPr>
                <w:rStyle w:val="Hyperlink"/>
                <w:noProof/>
              </w:rPr>
              <w:t>5.</w:t>
            </w:r>
            <w:r w:rsidR="00FC5552">
              <w:rPr>
                <w:rFonts w:eastAsiaTheme="minorEastAsia"/>
                <w:noProof/>
                <w:kern w:val="2"/>
                <w:sz w:val="22"/>
                <w:lang w:eastAsia="nl-NL"/>
                <w14:ligatures w14:val="standardContextual"/>
              </w:rPr>
              <w:tab/>
            </w:r>
            <w:r w:rsidR="00FC5552" w:rsidRPr="00545E3E">
              <w:rPr>
                <w:rStyle w:val="Hyperlink"/>
                <w:noProof/>
              </w:rPr>
              <w:t>Werkgever</w:t>
            </w:r>
            <w:r w:rsidR="00FC5552">
              <w:rPr>
                <w:noProof/>
                <w:webHidden/>
              </w:rPr>
              <w:tab/>
            </w:r>
            <w:r w:rsidR="00FC5552">
              <w:rPr>
                <w:noProof/>
                <w:webHidden/>
              </w:rPr>
              <w:fldChar w:fldCharType="begin"/>
            </w:r>
            <w:r w:rsidR="00FC5552">
              <w:rPr>
                <w:noProof/>
                <w:webHidden/>
              </w:rPr>
              <w:instrText xml:space="preserve"> PAGEREF _Toc147488470 \h </w:instrText>
            </w:r>
            <w:r w:rsidR="00FC5552">
              <w:rPr>
                <w:noProof/>
                <w:webHidden/>
              </w:rPr>
            </w:r>
            <w:r w:rsidR="00FC5552">
              <w:rPr>
                <w:noProof/>
                <w:webHidden/>
              </w:rPr>
              <w:fldChar w:fldCharType="separate"/>
            </w:r>
            <w:r w:rsidR="00010902">
              <w:rPr>
                <w:noProof/>
                <w:webHidden/>
              </w:rPr>
              <w:t>5</w:t>
            </w:r>
            <w:r w:rsidR="00FC5552">
              <w:rPr>
                <w:noProof/>
                <w:webHidden/>
              </w:rPr>
              <w:fldChar w:fldCharType="end"/>
            </w:r>
          </w:hyperlink>
        </w:p>
        <w:p w14:paraId="73FE147B" w14:textId="06BC1221" w:rsidR="00FC5552" w:rsidRDefault="00000000">
          <w:pPr>
            <w:pStyle w:val="Inhopg1"/>
            <w:tabs>
              <w:tab w:val="left" w:pos="440"/>
              <w:tab w:val="right" w:leader="dot" w:pos="9543"/>
            </w:tabs>
            <w:rPr>
              <w:rFonts w:eastAsiaTheme="minorEastAsia"/>
              <w:noProof/>
              <w:kern w:val="2"/>
              <w:sz w:val="22"/>
              <w:lang w:eastAsia="nl-NL"/>
              <w14:ligatures w14:val="standardContextual"/>
            </w:rPr>
          </w:pPr>
          <w:hyperlink w:anchor="_Toc147488471" w:history="1">
            <w:r w:rsidR="00FC5552" w:rsidRPr="00545E3E">
              <w:rPr>
                <w:rStyle w:val="Hyperlink"/>
                <w:noProof/>
              </w:rPr>
              <w:t>6.</w:t>
            </w:r>
            <w:r w:rsidR="00FC5552">
              <w:rPr>
                <w:rFonts w:eastAsiaTheme="minorEastAsia"/>
                <w:noProof/>
                <w:kern w:val="2"/>
                <w:sz w:val="22"/>
                <w:lang w:eastAsia="nl-NL"/>
                <w14:ligatures w14:val="standardContextual"/>
              </w:rPr>
              <w:tab/>
            </w:r>
            <w:r w:rsidR="00FC5552" w:rsidRPr="00545E3E">
              <w:rPr>
                <w:rStyle w:val="Hyperlink"/>
                <w:noProof/>
              </w:rPr>
              <w:t>Continue Ontwikkeling</w:t>
            </w:r>
            <w:r w:rsidR="00FC5552">
              <w:rPr>
                <w:noProof/>
                <w:webHidden/>
              </w:rPr>
              <w:tab/>
            </w:r>
            <w:r w:rsidR="00FC5552">
              <w:rPr>
                <w:noProof/>
                <w:webHidden/>
              </w:rPr>
              <w:fldChar w:fldCharType="begin"/>
            </w:r>
            <w:r w:rsidR="00FC5552">
              <w:rPr>
                <w:noProof/>
                <w:webHidden/>
              </w:rPr>
              <w:instrText xml:space="preserve"> PAGEREF _Toc147488471 \h </w:instrText>
            </w:r>
            <w:r w:rsidR="00FC5552">
              <w:rPr>
                <w:noProof/>
                <w:webHidden/>
              </w:rPr>
            </w:r>
            <w:r w:rsidR="00FC5552">
              <w:rPr>
                <w:noProof/>
                <w:webHidden/>
              </w:rPr>
              <w:fldChar w:fldCharType="separate"/>
            </w:r>
            <w:r w:rsidR="00010902">
              <w:rPr>
                <w:noProof/>
                <w:webHidden/>
              </w:rPr>
              <w:t>5</w:t>
            </w:r>
            <w:r w:rsidR="00FC5552">
              <w:rPr>
                <w:noProof/>
                <w:webHidden/>
              </w:rPr>
              <w:fldChar w:fldCharType="end"/>
            </w:r>
          </w:hyperlink>
        </w:p>
        <w:p w14:paraId="19CF31D0" w14:textId="7564A6BF" w:rsidR="00BF09BD" w:rsidRDefault="00BF09BD">
          <w:r>
            <w:rPr>
              <w:b/>
              <w:bCs/>
            </w:rPr>
            <w:fldChar w:fldCharType="end"/>
          </w:r>
        </w:p>
      </w:sdtContent>
    </w:sdt>
    <w:p w14:paraId="3EBB113D" w14:textId="77777777" w:rsidR="00FE37F2" w:rsidRDefault="00FE37F2" w:rsidP="00FE37F2"/>
    <w:p w14:paraId="2548CD7C" w14:textId="77777777" w:rsidR="00FE37F2" w:rsidRDefault="00FE37F2" w:rsidP="00FE37F2"/>
    <w:p w14:paraId="7553B5C3" w14:textId="77777777" w:rsidR="00FE37F2" w:rsidRDefault="00FE37F2" w:rsidP="00FE37F2"/>
    <w:tbl>
      <w:tblPr>
        <w:tblStyle w:val="CCEtabel"/>
        <w:tblW w:w="0" w:type="auto"/>
        <w:tblLook w:val="04A0" w:firstRow="1" w:lastRow="0" w:firstColumn="1" w:lastColumn="0" w:noHBand="0" w:noVBand="1"/>
      </w:tblPr>
      <w:tblGrid>
        <w:gridCol w:w="817"/>
        <w:gridCol w:w="1210"/>
        <w:gridCol w:w="66"/>
        <w:gridCol w:w="1701"/>
        <w:gridCol w:w="1369"/>
        <w:gridCol w:w="4606"/>
      </w:tblGrid>
      <w:tr w:rsidR="00FE37F2" w14:paraId="0CB1185E" w14:textId="77777777" w:rsidTr="00FE37F2">
        <w:trPr>
          <w:cnfStyle w:val="100000000000" w:firstRow="1" w:lastRow="0" w:firstColumn="0" w:lastColumn="0" w:oddVBand="0" w:evenVBand="0" w:oddHBand="0" w:evenHBand="0" w:firstRowFirstColumn="0" w:firstRowLastColumn="0" w:lastRowFirstColumn="0" w:lastRowLastColumn="0"/>
        </w:trPr>
        <w:tc>
          <w:tcPr>
            <w:tcW w:w="817" w:type="dxa"/>
          </w:tcPr>
          <w:p w14:paraId="6747BF42" w14:textId="572DDA96" w:rsidR="00FE37F2" w:rsidRDefault="00FE37F2" w:rsidP="00FE37F2">
            <w:r>
              <w:t>Versie</w:t>
            </w:r>
          </w:p>
        </w:tc>
        <w:tc>
          <w:tcPr>
            <w:tcW w:w="1276" w:type="dxa"/>
            <w:gridSpan w:val="2"/>
          </w:tcPr>
          <w:p w14:paraId="468138B8" w14:textId="701CC14B" w:rsidR="00FE37F2" w:rsidRDefault="00FE37F2" w:rsidP="00FE37F2">
            <w:r>
              <w:t>Datum</w:t>
            </w:r>
          </w:p>
        </w:tc>
        <w:tc>
          <w:tcPr>
            <w:tcW w:w="1701" w:type="dxa"/>
          </w:tcPr>
          <w:p w14:paraId="6669BA57" w14:textId="46DDCA92" w:rsidR="00FE37F2" w:rsidRDefault="00FE37F2" w:rsidP="00FE37F2">
            <w:r>
              <w:t>Auteur</w:t>
            </w:r>
          </w:p>
        </w:tc>
        <w:tc>
          <w:tcPr>
            <w:tcW w:w="5975" w:type="dxa"/>
            <w:gridSpan w:val="2"/>
          </w:tcPr>
          <w:p w14:paraId="011E9119" w14:textId="2D563A30" w:rsidR="00FE37F2" w:rsidRDefault="00FE37F2" w:rsidP="00FE37F2">
            <w:r>
              <w:t xml:space="preserve">Wijzigingen </w:t>
            </w:r>
          </w:p>
        </w:tc>
      </w:tr>
      <w:tr w:rsidR="00FE37F2" w14:paraId="08576CCD" w14:textId="77777777" w:rsidTr="00FE37F2">
        <w:tc>
          <w:tcPr>
            <w:tcW w:w="817" w:type="dxa"/>
          </w:tcPr>
          <w:p w14:paraId="01008F0B" w14:textId="4347D3D4" w:rsidR="00FE37F2" w:rsidRDefault="00FE37F2" w:rsidP="00FE37F2">
            <w:r>
              <w:t>1.0</w:t>
            </w:r>
          </w:p>
        </w:tc>
        <w:tc>
          <w:tcPr>
            <w:tcW w:w="1276" w:type="dxa"/>
            <w:gridSpan w:val="2"/>
          </w:tcPr>
          <w:p w14:paraId="0D7C3D27" w14:textId="12DED632" w:rsidR="00FE37F2" w:rsidRDefault="00FE37F2" w:rsidP="00FE37F2">
            <w:r>
              <w:t>06-10-2023</w:t>
            </w:r>
          </w:p>
        </w:tc>
        <w:tc>
          <w:tcPr>
            <w:tcW w:w="1701" w:type="dxa"/>
          </w:tcPr>
          <w:p w14:paraId="7242BA13" w14:textId="6D501C91" w:rsidR="00FE37F2" w:rsidRDefault="00FE37F2" w:rsidP="00FE37F2">
            <w:r>
              <w:t>W. van der Spek</w:t>
            </w:r>
          </w:p>
        </w:tc>
        <w:tc>
          <w:tcPr>
            <w:tcW w:w="5975" w:type="dxa"/>
            <w:gridSpan w:val="2"/>
          </w:tcPr>
          <w:p w14:paraId="04E961BE" w14:textId="664DE646" w:rsidR="00FE37F2" w:rsidRDefault="0092564B" w:rsidP="00FE37F2">
            <w:r>
              <w:t>Eerste concept</w:t>
            </w:r>
          </w:p>
        </w:tc>
      </w:tr>
      <w:tr w:rsidR="00FE37F2" w14:paraId="6E562063" w14:textId="77777777" w:rsidTr="00FE37F2">
        <w:tc>
          <w:tcPr>
            <w:tcW w:w="817" w:type="dxa"/>
          </w:tcPr>
          <w:p w14:paraId="1CF59F7C" w14:textId="2FC7BBED" w:rsidR="00FE37F2" w:rsidRDefault="000151D7" w:rsidP="00FE37F2">
            <w:r>
              <w:t>2.0</w:t>
            </w:r>
          </w:p>
        </w:tc>
        <w:tc>
          <w:tcPr>
            <w:tcW w:w="1276" w:type="dxa"/>
            <w:gridSpan w:val="2"/>
          </w:tcPr>
          <w:p w14:paraId="15F41591" w14:textId="0732C587" w:rsidR="00FE37F2" w:rsidRDefault="000151D7" w:rsidP="00FE37F2">
            <w:r>
              <w:t>28-11-2023</w:t>
            </w:r>
          </w:p>
        </w:tc>
        <w:tc>
          <w:tcPr>
            <w:tcW w:w="1701" w:type="dxa"/>
          </w:tcPr>
          <w:p w14:paraId="4FEC1405" w14:textId="4560EAE8" w:rsidR="00FE37F2" w:rsidRDefault="000151D7" w:rsidP="00FE37F2">
            <w:r>
              <w:t>W. van der Spek</w:t>
            </w:r>
          </w:p>
        </w:tc>
        <w:tc>
          <w:tcPr>
            <w:tcW w:w="5975" w:type="dxa"/>
            <w:gridSpan w:val="2"/>
          </w:tcPr>
          <w:p w14:paraId="2EC8F46F" w14:textId="3AC3F876" w:rsidR="00FE37F2" w:rsidRDefault="0001338A" w:rsidP="00FE37F2">
            <w:r>
              <w:t xml:space="preserve">Aanvullingen in hoofdstuk 4 </w:t>
            </w:r>
            <w:r w:rsidR="00E77A8B">
              <w:t xml:space="preserve">(rollen en informatievergaring) </w:t>
            </w:r>
            <w:r>
              <w:t xml:space="preserve">en </w:t>
            </w:r>
            <w:r w:rsidR="006449E5">
              <w:t>6</w:t>
            </w:r>
            <w:r>
              <w:t xml:space="preserve"> </w:t>
            </w:r>
            <w:r w:rsidR="00E77A8B">
              <w:t>(scholingsplan)</w:t>
            </w:r>
          </w:p>
        </w:tc>
      </w:tr>
      <w:tr w:rsidR="00FE37F2" w14:paraId="140816B4" w14:textId="77777777" w:rsidTr="00FE37F2">
        <w:tc>
          <w:tcPr>
            <w:tcW w:w="817" w:type="dxa"/>
          </w:tcPr>
          <w:p w14:paraId="79255C8A" w14:textId="77777777" w:rsidR="00FE37F2" w:rsidRDefault="00FE37F2" w:rsidP="00FE37F2"/>
        </w:tc>
        <w:tc>
          <w:tcPr>
            <w:tcW w:w="1210" w:type="dxa"/>
          </w:tcPr>
          <w:p w14:paraId="295C0D99" w14:textId="77777777" w:rsidR="00FE37F2" w:rsidRDefault="00FE37F2" w:rsidP="00FE37F2"/>
        </w:tc>
        <w:tc>
          <w:tcPr>
            <w:tcW w:w="3136" w:type="dxa"/>
            <w:gridSpan w:val="3"/>
          </w:tcPr>
          <w:p w14:paraId="4B827CF9" w14:textId="77777777" w:rsidR="00FE37F2" w:rsidRDefault="00FE37F2" w:rsidP="00FE37F2"/>
        </w:tc>
        <w:tc>
          <w:tcPr>
            <w:tcW w:w="4606" w:type="dxa"/>
          </w:tcPr>
          <w:p w14:paraId="680146DA" w14:textId="77777777" w:rsidR="00FE37F2" w:rsidRDefault="00FE37F2" w:rsidP="00FE37F2"/>
        </w:tc>
      </w:tr>
      <w:tr w:rsidR="00FE37F2" w14:paraId="5674F7CD" w14:textId="77777777" w:rsidTr="00FE37F2">
        <w:tc>
          <w:tcPr>
            <w:tcW w:w="817" w:type="dxa"/>
          </w:tcPr>
          <w:p w14:paraId="155BB463" w14:textId="77777777" w:rsidR="00FE37F2" w:rsidRDefault="00FE37F2" w:rsidP="00FE37F2"/>
        </w:tc>
        <w:tc>
          <w:tcPr>
            <w:tcW w:w="1276" w:type="dxa"/>
            <w:gridSpan w:val="2"/>
          </w:tcPr>
          <w:p w14:paraId="7A23E7E5" w14:textId="77777777" w:rsidR="00FE37F2" w:rsidRDefault="00FE37F2" w:rsidP="00FE37F2"/>
        </w:tc>
        <w:tc>
          <w:tcPr>
            <w:tcW w:w="1701" w:type="dxa"/>
          </w:tcPr>
          <w:p w14:paraId="4E84234B" w14:textId="77777777" w:rsidR="00FE37F2" w:rsidRDefault="00FE37F2" w:rsidP="00FE37F2"/>
        </w:tc>
        <w:tc>
          <w:tcPr>
            <w:tcW w:w="5975" w:type="dxa"/>
            <w:gridSpan w:val="2"/>
          </w:tcPr>
          <w:p w14:paraId="3E4ACBB0" w14:textId="77777777" w:rsidR="00FE37F2" w:rsidRDefault="00FE37F2" w:rsidP="00FE37F2"/>
        </w:tc>
      </w:tr>
      <w:tr w:rsidR="00FE37F2" w14:paraId="3F6BE353" w14:textId="77777777" w:rsidTr="00FE37F2">
        <w:tc>
          <w:tcPr>
            <w:tcW w:w="817" w:type="dxa"/>
          </w:tcPr>
          <w:p w14:paraId="60535DA5" w14:textId="77777777" w:rsidR="00FE37F2" w:rsidRDefault="00FE37F2" w:rsidP="00FE37F2"/>
        </w:tc>
        <w:tc>
          <w:tcPr>
            <w:tcW w:w="1276" w:type="dxa"/>
            <w:gridSpan w:val="2"/>
          </w:tcPr>
          <w:p w14:paraId="793C6B8A" w14:textId="77777777" w:rsidR="00FE37F2" w:rsidRDefault="00FE37F2" w:rsidP="00FE37F2"/>
        </w:tc>
        <w:tc>
          <w:tcPr>
            <w:tcW w:w="1701" w:type="dxa"/>
          </w:tcPr>
          <w:p w14:paraId="1DF67CDA" w14:textId="77777777" w:rsidR="00FE37F2" w:rsidRDefault="00FE37F2" w:rsidP="00FE37F2"/>
        </w:tc>
        <w:tc>
          <w:tcPr>
            <w:tcW w:w="5975" w:type="dxa"/>
            <w:gridSpan w:val="2"/>
          </w:tcPr>
          <w:p w14:paraId="14208A72" w14:textId="77777777" w:rsidR="00FE37F2" w:rsidRDefault="00FE37F2" w:rsidP="00FE37F2"/>
        </w:tc>
      </w:tr>
      <w:tr w:rsidR="00FE37F2" w14:paraId="4F6382EB" w14:textId="77777777" w:rsidTr="00FE37F2">
        <w:tc>
          <w:tcPr>
            <w:tcW w:w="817" w:type="dxa"/>
          </w:tcPr>
          <w:p w14:paraId="28FCAB90" w14:textId="77777777" w:rsidR="00FE37F2" w:rsidRDefault="00FE37F2" w:rsidP="00FE37F2"/>
        </w:tc>
        <w:tc>
          <w:tcPr>
            <w:tcW w:w="1276" w:type="dxa"/>
            <w:gridSpan w:val="2"/>
          </w:tcPr>
          <w:p w14:paraId="004E86F0" w14:textId="77777777" w:rsidR="00FE37F2" w:rsidRDefault="00FE37F2" w:rsidP="00FE37F2"/>
        </w:tc>
        <w:tc>
          <w:tcPr>
            <w:tcW w:w="1701" w:type="dxa"/>
          </w:tcPr>
          <w:p w14:paraId="5F9B4D92" w14:textId="77777777" w:rsidR="00FE37F2" w:rsidRDefault="00FE37F2" w:rsidP="00FE37F2"/>
        </w:tc>
        <w:tc>
          <w:tcPr>
            <w:tcW w:w="5975" w:type="dxa"/>
            <w:gridSpan w:val="2"/>
          </w:tcPr>
          <w:p w14:paraId="63FBD692" w14:textId="77777777" w:rsidR="00FE37F2" w:rsidRDefault="00FE37F2" w:rsidP="00FE37F2"/>
        </w:tc>
      </w:tr>
    </w:tbl>
    <w:p w14:paraId="5B3827E4" w14:textId="77777777" w:rsidR="00FE37F2" w:rsidRDefault="00FE37F2" w:rsidP="00FE37F2"/>
    <w:p w14:paraId="4C6F0475" w14:textId="77777777" w:rsidR="00FE37F2" w:rsidRDefault="00FE37F2" w:rsidP="00FE37F2"/>
    <w:p w14:paraId="44D856E1" w14:textId="4BE63A58" w:rsidR="00FE37F2" w:rsidRDefault="00FE37F2" w:rsidP="00FE37F2">
      <w:r>
        <w:br w:type="page"/>
      </w:r>
    </w:p>
    <w:p w14:paraId="3C0A91BD" w14:textId="77777777" w:rsidR="00D959BD" w:rsidRDefault="00FE37F2" w:rsidP="006A6802">
      <w:pPr>
        <w:pStyle w:val="Kop1"/>
      </w:pPr>
      <w:bookmarkStart w:id="0" w:name="_Toc147488466"/>
      <w:r>
        <w:lastRenderedPageBreak/>
        <w:t>Inleiding</w:t>
      </w:r>
      <w:bookmarkEnd w:id="0"/>
    </w:p>
    <w:p w14:paraId="04FA45C3" w14:textId="77777777" w:rsidR="00D959BD" w:rsidRDefault="00D959BD" w:rsidP="00D959BD">
      <w:pPr>
        <w:pStyle w:val="Kop1"/>
        <w:numPr>
          <w:ilvl w:val="0"/>
          <w:numId w:val="0"/>
        </w:numPr>
        <w:ind w:left="340"/>
      </w:pPr>
    </w:p>
    <w:p w14:paraId="63CA8E4A" w14:textId="2FDE085D" w:rsidR="00FE37F2" w:rsidRDefault="00FE37F2" w:rsidP="00D959BD">
      <w:r>
        <w:t xml:space="preserve">Voor u ligt de toezichtsvisie van de </w:t>
      </w:r>
      <w:r w:rsidR="005073C5">
        <w:t>Raad van Toezicht</w:t>
      </w:r>
      <w:r>
        <w:t xml:space="preserve"> van CCE (Centrum voor consultatie en expertise). In </w:t>
      </w:r>
    </w:p>
    <w:p w14:paraId="6CC1994D" w14:textId="62C4C8E7" w:rsidR="00FE37F2" w:rsidRDefault="00FE37F2" w:rsidP="00FE37F2">
      <w:r>
        <w:t xml:space="preserve">voorliggend document beschrijft de </w:t>
      </w:r>
      <w:r w:rsidR="005073C5">
        <w:t>Raad van Toezicht</w:t>
      </w:r>
      <w:r>
        <w:t xml:space="preserve"> hoe hij concreet toezicht houdt op het bestuur, </w:t>
      </w:r>
    </w:p>
    <w:p w14:paraId="5A2318CE" w14:textId="18B5E80A" w:rsidR="00FE37F2" w:rsidRDefault="00FE37F2" w:rsidP="00FE37F2">
      <w:r>
        <w:t xml:space="preserve">de besturing en het functioneren van de organisatie. De </w:t>
      </w:r>
      <w:r w:rsidR="005073C5">
        <w:t>Raad van Toezicht</w:t>
      </w:r>
      <w:r>
        <w:t xml:space="preserve"> zet uiteen waarvoor hij wil </w:t>
      </w:r>
    </w:p>
    <w:p w14:paraId="0F7B7E2A" w14:textId="59284D57" w:rsidR="00FE37F2" w:rsidRDefault="00FE37F2" w:rsidP="00FE37F2">
      <w:r>
        <w:t xml:space="preserve">staan, waarop hij zich richt en hoe hij toezicht houdt. Dit doet de </w:t>
      </w:r>
      <w:r w:rsidR="005073C5">
        <w:t>Raad van Toezicht</w:t>
      </w:r>
      <w:r>
        <w:t xml:space="preserve"> in samenspraak </w:t>
      </w:r>
    </w:p>
    <w:p w14:paraId="0FA3D73E" w14:textId="7B0419AB" w:rsidR="00FE37F2" w:rsidRDefault="00FE37F2" w:rsidP="00FE37F2">
      <w:r>
        <w:t xml:space="preserve">met de </w:t>
      </w:r>
      <w:r w:rsidR="005073C5">
        <w:t>Raad van Bestuur</w:t>
      </w:r>
      <w:r>
        <w:t xml:space="preserve">, met behoud van zijn eigen rol en verantwoordelijkheid. Met deze visie weten </w:t>
      </w:r>
    </w:p>
    <w:p w14:paraId="1B853207" w14:textId="790F3191" w:rsidR="00FE37F2" w:rsidRDefault="005073C5" w:rsidP="00FE37F2">
      <w:r>
        <w:t>Raad van Bestuur</w:t>
      </w:r>
      <w:r w:rsidR="00FE37F2">
        <w:t xml:space="preserve"> en </w:t>
      </w:r>
      <w:r>
        <w:t>Raad van Toezicht</w:t>
      </w:r>
      <w:r w:rsidR="00FE37F2">
        <w:t xml:space="preserve"> hoe ze zich tot elkaar verhouden, op welke wijze er wordt </w:t>
      </w:r>
    </w:p>
    <w:p w14:paraId="5FDCFB7A" w14:textId="77777777" w:rsidR="00FE37F2" w:rsidRDefault="00FE37F2" w:rsidP="00FE37F2">
      <w:r>
        <w:t>samengewerkt, hoe de dialoog wordt gevoerd en wat men van elkaar mag en kan verwachten.</w:t>
      </w:r>
    </w:p>
    <w:p w14:paraId="3BA8555B" w14:textId="77777777" w:rsidR="00FE37F2" w:rsidRDefault="00FE37F2" w:rsidP="00FE37F2">
      <w:r>
        <w:t xml:space="preserve">Ons vertrekpunt is dat onze wijze van toezichthouden in overeenstemming moet zijn met de visie en </w:t>
      </w:r>
    </w:p>
    <w:p w14:paraId="6AE5B4F1" w14:textId="4914F21B" w:rsidR="00FE37F2" w:rsidRDefault="00FE37F2" w:rsidP="00FE37F2">
      <w:r>
        <w:t xml:space="preserve">missie en de kernwaarden van </w:t>
      </w:r>
      <w:r w:rsidR="00CE4149">
        <w:t>CCE</w:t>
      </w:r>
      <w:r>
        <w:t>. Daarbij wordt de Governancecode Zorg 2022</w:t>
      </w:r>
      <w:r w:rsidR="00FF7747">
        <w:rPr>
          <w:rStyle w:val="Voetnootmarkering"/>
        </w:rPr>
        <w:footnoteReference w:id="1"/>
      </w:r>
      <w:r>
        <w:t xml:space="preserve"> en het NVTZ</w:t>
      </w:r>
      <w:r w:rsidR="00FF7747">
        <w:t xml:space="preserve"> </w:t>
      </w:r>
      <w:r>
        <w:t>kader ‘Goed Toezicht’ (2017)</w:t>
      </w:r>
      <w:r w:rsidR="00FF7747">
        <w:rPr>
          <w:rStyle w:val="Voetnootmarkering"/>
        </w:rPr>
        <w:footnoteReference w:id="2"/>
      </w:r>
      <w:r w:rsidR="00FF7747">
        <w:t xml:space="preserve"> </w:t>
      </w:r>
      <w:r>
        <w:t xml:space="preserve">in acht genomen. Dit alles om te streven naar een goede balans van de </w:t>
      </w:r>
    </w:p>
    <w:p w14:paraId="5A59253F" w14:textId="7233089C" w:rsidR="00FE37F2" w:rsidRDefault="005073C5" w:rsidP="00FE37F2">
      <w:r>
        <w:t>Raad van Toezicht</w:t>
      </w:r>
      <w:r w:rsidR="00FE37F2">
        <w:t xml:space="preserve"> als werkgever, toezichthouder en klankbord.</w:t>
      </w:r>
    </w:p>
    <w:p w14:paraId="7778FBBB" w14:textId="77777777" w:rsidR="002F1A1A" w:rsidRDefault="002F1A1A" w:rsidP="00FE37F2"/>
    <w:p w14:paraId="35D7C5F1" w14:textId="77777777" w:rsidR="00FE37F2" w:rsidRDefault="00FE37F2" w:rsidP="00FE37F2"/>
    <w:p w14:paraId="64984E7C" w14:textId="312C9EC5" w:rsidR="00FE37F2" w:rsidRDefault="003F25AF" w:rsidP="008B6493">
      <w:pPr>
        <w:pStyle w:val="Kop1"/>
      </w:pPr>
      <w:bookmarkStart w:id="1" w:name="_Toc147488467"/>
      <w:r>
        <w:t>Visie en werkwijze</w:t>
      </w:r>
      <w:r w:rsidR="00FE37F2">
        <w:t xml:space="preserve"> </w:t>
      </w:r>
      <w:r w:rsidR="008B6493">
        <w:t>CCE</w:t>
      </w:r>
      <w:bookmarkEnd w:id="1"/>
    </w:p>
    <w:p w14:paraId="7630DFFC" w14:textId="77777777" w:rsidR="002F1A1A" w:rsidRDefault="002F1A1A" w:rsidP="00FE37F2"/>
    <w:p w14:paraId="6217EFD8" w14:textId="1BA3CE5F" w:rsidR="003D53DF" w:rsidRDefault="003F25AF" w:rsidP="00FE37F2">
      <w:r w:rsidRPr="003F25AF">
        <w:t>Centrum voor Consultatie en Expertise (CCE) is partner van professionals in alle zorgsectoren, voor expertise over ernstig probleemgedrag. Soms lopen professionals vast met mensen die een stoornis of blijvende beperking hebben. Het gaat om mensen die langdurig en/of intensieve zorg en ondersteuning nodig hebben. Daar waar professionals vastlopen met probleemgedrag en de kwaliteit van bestaan van de cliënt ernstig onder druk staat, zoeken betrokkenen en CCE gezamenlijk naar nieuw perspectief.</w:t>
      </w:r>
    </w:p>
    <w:p w14:paraId="38BF6F31" w14:textId="77777777" w:rsidR="003F25AF" w:rsidRDefault="003F25AF" w:rsidP="00FE37F2"/>
    <w:p w14:paraId="1D6F903D" w14:textId="77777777" w:rsidR="00234CA9" w:rsidRDefault="00234CA9" w:rsidP="004B2CE7">
      <w:pPr>
        <w:pStyle w:val="Kop3ongenummerd"/>
      </w:pPr>
      <w:r>
        <w:t>Visie op probleemgedrag</w:t>
      </w:r>
    </w:p>
    <w:p w14:paraId="5BFD2CF4" w14:textId="77777777" w:rsidR="00234CA9" w:rsidRDefault="00234CA9" w:rsidP="00234CA9">
      <w:r>
        <w:t xml:space="preserve">In de visie en werkwijze van CCE is de 'context’ een belangrijk begrip omdat er altijd een wisselwerking is tussen de cliënt en zijn omgeving. In de zoektocht naar de oorzaken van probleemgedrag kijken we </w:t>
      </w:r>
      <w:r w:rsidRPr="004B2CE7">
        <w:rPr>
          <w:rStyle w:val="groenChar"/>
        </w:rPr>
        <w:t>breed</w:t>
      </w:r>
      <w:r>
        <w:t xml:space="preserve"> naar de cliënt in zijn context. Daarbij betrekken we de sociale en fysische omgeving én de organisatorische context.</w:t>
      </w:r>
    </w:p>
    <w:p w14:paraId="1AB280B5" w14:textId="77777777" w:rsidR="00234CA9" w:rsidRDefault="00234CA9" w:rsidP="00234CA9"/>
    <w:p w14:paraId="5EC9B9CD" w14:textId="4D006117" w:rsidR="003F25AF" w:rsidRDefault="00234CA9" w:rsidP="00234CA9">
      <w:r>
        <w:t xml:space="preserve">Ook kijken we </w:t>
      </w:r>
      <w:r w:rsidRPr="004B2CE7">
        <w:rPr>
          <w:rStyle w:val="groenChar"/>
        </w:rPr>
        <w:t>meervoudig</w:t>
      </w:r>
      <w:r>
        <w:t xml:space="preserve">, dat wil zeggen met aandacht voor feiten, belevingen, betekenissen, belangen, normen en waarden. Niet alleen die van de cliënt, maar ook die van de sociale omgeving. Verder kijken we ook </w:t>
      </w:r>
      <w:r w:rsidRPr="004B2CE7">
        <w:rPr>
          <w:rStyle w:val="groenChar"/>
        </w:rPr>
        <w:t>specifiek</w:t>
      </w:r>
      <w:r>
        <w:t xml:space="preserve"> naar probleemgedrag. De essentie van deze manier van kijken is dat het steeds gaat om een bepaalde persoon in een bepaalde context. Deze aanpak vraagt om een multidisciplinaire benadering van probleemgedrag in relatie tot de context.</w:t>
      </w:r>
    </w:p>
    <w:p w14:paraId="26438704" w14:textId="77777777" w:rsidR="00220BC1" w:rsidRDefault="00220BC1" w:rsidP="00234CA9"/>
    <w:p w14:paraId="0EEACA25" w14:textId="74D73AD1" w:rsidR="00220BC1" w:rsidRDefault="00220BC1" w:rsidP="00220BC1">
      <w:pPr>
        <w:pStyle w:val="Kop3ongenummerd"/>
      </w:pPr>
      <w:r>
        <w:t xml:space="preserve">Kompas door het CCE-landschap </w:t>
      </w:r>
    </w:p>
    <w:p w14:paraId="6059AF87" w14:textId="77777777" w:rsidR="00220BC1" w:rsidRDefault="00220BC1" w:rsidP="00220BC1">
      <w:r>
        <w:t xml:space="preserve">CCE wil werken in een zorglandschap waar de cliënt en zijn context écht centraal staan, waar we samen met anderen voorwaarden voor kwaliteit van leven vergroten, waar we aansluiten bij de cliënt, waar we </w:t>
      </w:r>
      <w:r>
        <w:lastRenderedPageBreak/>
        <w:t>naast de zorgprofessional staan en waar cliënten écht mogen rekenen op een duurzaam zorgaanbod, waar volhardend wordt gestreefd naar een inclusieve samenleving.</w:t>
      </w:r>
    </w:p>
    <w:p w14:paraId="6BAFAFD2" w14:textId="77777777" w:rsidR="00220BC1" w:rsidRDefault="00220BC1" w:rsidP="00220BC1"/>
    <w:p w14:paraId="4DF90D10" w14:textId="77777777" w:rsidR="00220BC1" w:rsidRDefault="00220BC1" w:rsidP="00220BC1">
      <w:r>
        <w:t>Wij dragen hieraan bij door alert te zijn op wat beter kan, dat ook te benoemen, helder en passend bij onze vertrouwensrol. Daar past bij dat we ook goede praktijken aanwijzen of bijdragen aan de ontwikkeling daarvan. Wij voegen waarde toe door de manier waarop we consultaties vormgeven: samen optrekken, meedenken en zoeken. Dat gaat dus verder dan alleen kennis inbrengen. We ontwikkelen ons werk mét onze samenwerkingspartners, houden rekening met hun context, en dragen bij aan expertise in bredere zin.</w:t>
      </w:r>
    </w:p>
    <w:p w14:paraId="66770FBA" w14:textId="77777777" w:rsidR="00220BC1" w:rsidRDefault="00220BC1" w:rsidP="00220BC1"/>
    <w:p w14:paraId="7E175E21" w14:textId="496EDF75" w:rsidR="00220BC1" w:rsidRDefault="00220BC1" w:rsidP="00220BC1">
      <w:r>
        <w:t>De beleidsvisie van CCE bouwt voort op de koers die we de afgelopen jaren hebben ingezet, waarvan we zien dat deze werkt in de praktijk. Deze visie sluit aan op het voorgaande Kompas doordat we dezelfde richting kiezen en de route door het landschap – voor zover mogelijk – verder uitwerken. We koersen immers af op een voortdurend veranderende horizon. Daar komen is een puzzel die we steeds opnieuw met elkaar leggen op alle terreinen waarop we ons begeven. Gelukkig is dat waar we goed in zijn en waar we energie van krijgen: samen met anderen puzzelen in een complexe context.</w:t>
      </w:r>
    </w:p>
    <w:p w14:paraId="217B5DC3" w14:textId="77777777" w:rsidR="002F1A1A" w:rsidRDefault="002F1A1A" w:rsidP="00220BC1"/>
    <w:p w14:paraId="3FF446FD" w14:textId="77777777" w:rsidR="003F25AF" w:rsidRDefault="003F25AF" w:rsidP="00FE37F2"/>
    <w:p w14:paraId="11CC119C" w14:textId="124E1E27" w:rsidR="00FE37F2" w:rsidRDefault="00FE37F2" w:rsidP="00101F1D">
      <w:pPr>
        <w:pStyle w:val="Kop1"/>
      </w:pPr>
      <w:bookmarkStart w:id="2" w:name="_Toc147488468"/>
      <w:r>
        <w:t>Kern</w:t>
      </w:r>
      <w:r w:rsidR="00251D7B">
        <w:t>competenties CCE</w:t>
      </w:r>
      <w:bookmarkEnd w:id="2"/>
      <w:r>
        <w:t xml:space="preserve"> </w:t>
      </w:r>
    </w:p>
    <w:p w14:paraId="6BECF07F" w14:textId="77777777" w:rsidR="00FE37F2" w:rsidRDefault="00FE37F2" w:rsidP="00FE37F2"/>
    <w:p w14:paraId="5AD7D99C" w14:textId="77777777" w:rsidR="002F1A1A" w:rsidRPr="00D959BD" w:rsidRDefault="002F1A1A" w:rsidP="00D959BD">
      <w:pPr>
        <w:pStyle w:val="groen"/>
        <w:rPr>
          <w:b/>
          <w:bCs/>
        </w:rPr>
      </w:pPr>
      <w:r w:rsidRPr="00D959BD">
        <w:rPr>
          <w:b/>
          <w:bCs/>
        </w:rPr>
        <w:t>Gedrevenheid (‘warm lopen voor de doelgroep’)</w:t>
      </w:r>
    </w:p>
    <w:p w14:paraId="25C420BF" w14:textId="77777777" w:rsidR="002F1A1A" w:rsidRDefault="002F1A1A" w:rsidP="002F1A1A">
      <w:r>
        <w:t xml:space="preserve">Alles uit de kast halen om het collectief verder te helpen. Zich niet laten beperken door vaste denkkaders </w:t>
      </w:r>
    </w:p>
    <w:p w14:paraId="71389494" w14:textId="3DBBBA33" w:rsidR="002F1A1A" w:rsidRDefault="002F1A1A" w:rsidP="002F1A1A">
      <w:r>
        <w:t xml:space="preserve">en </w:t>
      </w:r>
      <w:r w:rsidR="00C36CA1">
        <w:t>-</w:t>
      </w:r>
      <w:r>
        <w:t xml:space="preserve">patronen. Creativiteit en inventiviteit aanwenden om buiten vaste denkkaders en -patronen te treden. </w:t>
      </w:r>
    </w:p>
    <w:p w14:paraId="22A8EFDF" w14:textId="77777777" w:rsidR="002F1A1A" w:rsidRDefault="002F1A1A" w:rsidP="002F1A1A">
      <w:r>
        <w:t>Volhouden, schakelen en doseren om zaken voor elkaar te krijgen. Toewijding en inzet tonen.</w:t>
      </w:r>
    </w:p>
    <w:p w14:paraId="69352084" w14:textId="77777777" w:rsidR="00C36CA1" w:rsidRDefault="00C36CA1" w:rsidP="002F1A1A"/>
    <w:p w14:paraId="1775EB87" w14:textId="515811D3" w:rsidR="002F1A1A" w:rsidRPr="00D959BD" w:rsidRDefault="002F1A1A" w:rsidP="00D959BD">
      <w:pPr>
        <w:pStyle w:val="groen"/>
        <w:rPr>
          <w:b/>
          <w:bCs/>
        </w:rPr>
      </w:pPr>
      <w:r w:rsidRPr="00D959BD">
        <w:rPr>
          <w:b/>
          <w:bCs/>
        </w:rPr>
        <w:t>Willen leren (‘van kennis</w:t>
      </w:r>
      <w:r w:rsidR="00916332" w:rsidRPr="00D959BD">
        <w:rPr>
          <w:b/>
          <w:bCs/>
        </w:rPr>
        <w:t xml:space="preserve"> </w:t>
      </w:r>
      <w:r w:rsidRPr="00D959BD">
        <w:rPr>
          <w:b/>
          <w:bCs/>
        </w:rPr>
        <w:t>houden’)</w:t>
      </w:r>
    </w:p>
    <w:p w14:paraId="21D959A9" w14:textId="77777777" w:rsidR="002F1A1A" w:rsidRDefault="002F1A1A" w:rsidP="002F1A1A">
      <w:r>
        <w:t xml:space="preserve">Kennistoepassing, -deling en -evaluatie vormt de basis van het handelen, aangevuld met reflectie hierop. </w:t>
      </w:r>
    </w:p>
    <w:p w14:paraId="2A51640A" w14:textId="77777777" w:rsidR="002F1A1A" w:rsidRDefault="002F1A1A" w:rsidP="002F1A1A">
      <w:r>
        <w:t xml:space="preserve">Vragen en geven van feedback. Gretig zijn in het te weten komen van de laatste ontwikkelingen op het </w:t>
      </w:r>
    </w:p>
    <w:p w14:paraId="0F779D97" w14:textId="77777777" w:rsidR="002F1A1A" w:rsidRDefault="002F1A1A" w:rsidP="002F1A1A">
      <w:r>
        <w:t xml:space="preserve">eigen vakgebied. Bestaande kennis methodisch toepassen en optimaal benutten. Expertise toevoegen en </w:t>
      </w:r>
    </w:p>
    <w:p w14:paraId="7AE5680B" w14:textId="77777777" w:rsidR="002F1A1A" w:rsidRDefault="002F1A1A" w:rsidP="002F1A1A">
      <w:r>
        <w:t xml:space="preserve">zorgen voor benutting ervan door derden. </w:t>
      </w:r>
    </w:p>
    <w:p w14:paraId="2B7BDA91" w14:textId="77777777" w:rsidR="00D959BD" w:rsidRDefault="00D959BD" w:rsidP="002F1A1A"/>
    <w:p w14:paraId="4DD5650E" w14:textId="77777777" w:rsidR="002F1A1A" w:rsidRPr="00D959BD" w:rsidRDefault="002F1A1A" w:rsidP="00D959BD">
      <w:pPr>
        <w:pStyle w:val="groen"/>
        <w:rPr>
          <w:b/>
          <w:bCs/>
        </w:rPr>
      </w:pPr>
      <w:r w:rsidRPr="00D959BD">
        <w:rPr>
          <w:b/>
          <w:bCs/>
        </w:rPr>
        <w:t>Partnerschap (‘uitgaan van een en een is drie’)</w:t>
      </w:r>
    </w:p>
    <w:p w14:paraId="0E92BC0E" w14:textId="77777777" w:rsidR="002F1A1A" w:rsidRDefault="002F1A1A" w:rsidP="002F1A1A">
      <w:r>
        <w:t xml:space="preserve">De wil om samen met in- en externe partners doelen te bereiken. Er plezier in hebben en bedreven in zijn </w:t>
      </w:r>
    </w:p>
    <w:p w14:paraId="2E452321" w14:textId="77777777" w:rsidR="002F1A1A" w:rsidRDefault="002F1A1A" w:rsidP="002F1A1A">
      <w:r>
        <w:t xml:space="preserve">om mensen ‘mee te krijgen’ in uiteenlopende situaties, ook bij belemmerende omstandigheden. Zich </w:t>
      </w:r>
    </w:p>
    <w:p w14:paraId="2D616BC0" w14:textId="77777777" w:rsidR="002F1A1A" w:rsidRDefault="002F1A1A" w:rsidP="002F1A1A">
      <w:r>
        <w:t xml:space="preserve">bewust zijn van het effect van de eigen rol en houding op de ander en hier in kunnen schakelen. </w:t>
      </w:r>
    </w:p>
    <w:p w14:paraId="282DEDC1" w14:textId="594D6FC8" w:rsidR="002F1A1A" w:rsidRDefault="002F1A1A" w:rsidP="002F1A1A">
      <w:r>
        <w:t>Uitnodigend zijn om samen resultaten te bereiken.</w:t>
      </w:r>
    </w:p>
    <w:p w14:paraId="58E02971" w14:textId="77777777" w:rsidR="00D959BD" w:rsidRDefault="00D959BD" w:rsidP="002F1A1A"/>
    <w:p w14:paraId="7BF00CBD" w14:textId="77777777" w:rsidR="00FE37F2" w:rsidRDefault="00FE37F2" w:rsidP="00FE37F2"/>
    <w:p w14:paraId="3BD61C75" w14:textId="2DABB626" w:rsidR="00FE37F2" w:rsidRDefault="00FE37F2" w:rsidP="00913017">
      <w:pPr>
        <w:pStyle w:val="Kop1"/>
      </w:pPr>
      <w:bookmarkStart w:id="3" w:name="_Toc147488469"/>
      <w:r>
        <w:t>Invulling toezichthoudende taak</w:t>
      </w:r>
      <w:bookmarkEnd w:id="3"/>
      <w:r>
        <w:t xml:space="preserve"> </w:t>
      </w:r>
    </w:p>
    <w:p w14:paraId="4BE08586" w14:textId="77777777" w:rsidR="00C05EE6" w:rsidRPr="00C05EE6" w:rsidRDefault="00C05EE6" w:rsidP="00C05EE6"/>
    <w:p w14:paraId="66F97459" w14:textId="735596C9" w:rsidR="00FE37F2" w:rsidRDefault="00FE37F2" w:rsidP="00FE37F2">
      <w:r>
        <w:t>De toezichthoudende taak kent vier samenhangende rollen:</w:t>
      </w:r>
    </w:p>
    <w:p w14:paraId="0AF1743E" w14:textId="2F6718C0" w:rsidR="00FE37F2" w:rsidRDefault="00FE37F2" w:rsidP="00C05EE6">
      <w:pPr>
        <w:pStyle w:val="CCEnummering1"/>
      </w:pPr>
      <w:r>
        <w:lastRenderedPageBreak/>
        <w:t>Toezichthouder</w:t>
      </w:r>
      <w:r w:rsidR="00790A9E">
        <w:t xml:space="preserve"> </w:t>
      </w:r>
      <w:r w:rsidR="007C71D7">
        <w:t>op het bestuur van CCE</w:t>
      </w:r>
      <w:r w:rsidR="007C71D7">
        <w:br/>
        <w:t>Toezicht houden op het beleid van de bestuurder, de realisatie van de strategische doelstellingen en de wijze waarop het bestuur</w:t>
      </w:r>
      <w:r w:rsidR="00FD4FEA">
        <w:t xml:space="preserve"> van CCE het beleid uitvoert. </w:t>
      </w:r>
    </w:p>
    <w:p w14:paraId="6C05364D" w14:textId="2B9BB3A2" w:rsidR="00FE37F2" w:rsidRDefault="00FE37F2" w:rsidP="00C05EE6">
      <w:pPr>
        <w:pStyle w:val="CCEnummering1"/>
      </w:pPr>
      <w:r>
        <w:t>Werkgeversrol</w:t>
      </w:r>
      <w:r w:rsidR="002C00A0">
        <w:br/>
        <w:t xml:space="preserve">Bepalen van omvang en vormgeving van de topstructuur evenals het werven, selecteren en benoemen van het bestuur en vaststellen van de beloning. </w:t>
      </w:r>
      <w:r w:rsidR="00B460DA">
        <w:br/>
      </w:r>
      <w:r w:rsidR="00FF5AA9">
        <w:t xml:space="preserve">Jaarlijks beoordelen van het functioneren van het bestuur en het bevorderen van de ontwikkeling. </w:t>
      </w:r>
      <w:r w:rsidR="00B460DA">
        <w:br/>
        <w:t xml:space="preserve">Indien noodzakelijk het schorsen en ontslaan van het bestuur, </w:t>
      </w:r>
      <w:r w:rsidR="0080575B">
        <w:t xml:space="preserve">zorgdragen voor opvolging en continuiteit van het bestuur bij eventueel tussentijds ontslag. </w:t>
      </w:r>
    </w:p>
    <w:p w14:paraId="1F0128A0" w14:textId="4C1CDFD0" w:rsidR="00FE37F2" w:rsidRDefault="00FE37F2" w:rsidP="00C05EE6">
      <w:pPr>
        <w:pStyle w:val="CCEnummering1"/>
      </w:pPr>
      <w:r>
        <w:t>Sparringspartner</w:t>
      </w:r>
      <w:r w:rsidR="002F3CA0">
        <w:t xml:space="preserve"> bij belangrijke besluiten en strategievorming</w:t>
      </w:r>
      <w:r w:rsidR="002F3CA0">
        <w:br/>
      </w:r>
      <w:r w:rsidR="00A34BDB">
        <w:t xml:space="preserve">Reflecteren met de bestuurder over de strategie en omvangrijke operationele beslissingen, </w:t>
      </w:r>
      <w:r w:rsidR="00D671F3">
        <w:t xml:space="preserve">ondersteunen van de bestuurder bij strategische beslissingen en het geven van gevraagd en ongevraagd advies aan de bestuurder. </w:t>
      </w:r>
    </w:p>
    <w:p w14:paraId="0A805752" w14:textId="0CF0AAEC" w:rsidR="00FE37F2" w:rsidRDefault="00FE37F2" w:rsidP="00C05EE6">
      <w:pPr>
        <w:pStyle w:val="CCEnummering1"/>
      </w:pPr>
      <w:r>
        <w:t>Ambassadeur/netwerker</w:t>
      </w:r>
      <w:r w:rsidR="00D53F84">
        <w:br/>
        <w:t>Tijdig signaleren van ontwikkelingen in de omgeving, de zorgsector en politiek</w:t>
      </w:r>
      <w:r w:rsidR="00284C0E">
        <w:t xml:space="preserve"> en dit bespreekbaar maken met het bestuur. </w:t>
      </w:r>
    </w:p>
    <w:p w14:paraId="76E1E747" w14:textId="77777777" w:rsidR="00C05EE6" w:rsidRDefault="00C05EE6" w:rsidP="00C05EE6">
      <w:pPr>
        <w:pStyle w:val="CCEnummering1"/>
        <w:numPr>
          <w:ilvl w:val="0"/>
          <w:numId w:val="0"/>
        </w:numPr>
        <w:ind w:left="227"/>
      </w:pPr>
    </w:p>
    <w:p w14:paraId="78A2AC6B" w14:textId="77777777" w:rsidR="00FE37F2" w:rsidRDefault="00FE37F2" w:rsidP="00FE37F2">
      <w:r>
        <w:t xml:space="preserve">De wijze waarop deze taken worden vervuld, hangt ten nauwste samen met de context waarin de </w:t>
      </w:r>
    </w:p>
    <w:p w14:paraId="13BD7797" w14:textId="77777777" w:rsidR="00FE37F2" w:rsidRDefault="00FE37F2" w:rsidP="00FE37F2">
      <w:r>
        <w:t xml:space="preserve">organisatie opereert en de ontwikkelingsfase waarin zij verkeert. Maar bepalend is vooral de visie van </w:t>
      </w:r>
    </w:p>
    <w:p w14:paraId="66A192ED" w14:textId="3AFBC541" w:rsidR="00FE37F2" w:rsidRDefault="00FE37F2" w:rsidP="00FE37F2">
      <w:r>
        <w:t>de raad hier zelf op, wa</w:t>
      </w:r>
      <w:r w:rsidR="003B4CD3">
        <w:t>t</w:t>
      </w:r>
      <w:r>
        <w:t xml:space="preserve"> voor </w:t>
      </w:r>
      <w:r w:rsidR="005073C5">
        <w:t>Raad van Toezicht</w:t>
      </w:r>
      <w:r>
        <w:t xml:space="preserve"> wil je zijn? </w:t>
      </w:r>
    </w:p>
    <w:p w14:paraId="73740693" w14:textId="77777777" w:rsidR="00A16939" w:rsidRDefault="00A16939" w:rsidP="00FE37F2"/>
    <w:p w14:paraId="5F8E7B57" w14:textId="77777777" w:rsidR="00FE37F2" w:rsidRPr="005F7664" w:rsidRDefault="00FE37F2" w:rsidP="00A16939">
      <w:pPr>
        <w:pStyle w:val="groen"/>
      </w:pPr>
      <w:r w:rsidRPr="005F7664">
        <w:t xml:space="preserve">Kernwaarden en normen </w:t>
      </w:r>
    </w:p>
    <w:p w14:paraId="781EB25C" w14:textId="3665E42E" w:rsidR="00FE37F2" w:rsidRDefault="00FE37F2" w:rsidP="00FE37F2">
      <w:r>
        <w:t xml:space="preserve">Als </w:t>
      </w:r>
      <w:r w:rsidR="005073C5">
        <w:t>Raad van Toezicht</w:t>
      </w:r>
      <w:r>
        <w:t xml:space="preserve"> verbinden wij ons aan de </w:t>
      </w:r>
      <w:r w:rsidR="00A16939">
        <w:t xml:space="preserve">visie, werkwijze en </w:t>
      </w:r>
      <w:r>
        <w:t>kern</w:t>
      </w:r>
      <w:r w:rsidR="00A16939">
        <w:t xml:space="preserve">competenties </w:t>
      </w:r>
      <w:r w:rsidR="00C7787D">
        <w:t xml:space="preserve">van CCE en </w:t>
      </w:r>
      <w:r>
        <w:t xml:space="preserve">houden </w:t>
      </w:r>
    </w:p>
    <w:p w14:paraId="4CAD79FE" w14:textId="77777777" w:rsidR="00FE37F2" w:rsidRDefault="00FE37F2" w:rsidP="00FE37F2">
      <w:r>
        <w:t xml:space="preserve">ons aan het bepaalde in statuten en reglementen. Wij onderschrijven de principes van de </w:t>
      </w:r>
    </w:p>
    <w:p w14:paraId="362DE7CE" w14:textId="77777777" w:rsidR="00FE37F2" w:rsidRDefault="00FE37F2" w:rsidP="00FE37F2">
      <w:r>
        <w:t xml:space="preserve">Governancecode Zorg en handelen hiernaar. Wij zijn transparant en aanspreekbaar op onze invulling </w:t>
      </w:r>
    </w:p>
    <w:p w14:paraId="1A229E35" w14:textId="6B295924" w:rsidR="00FE37F2" w:rsidRDefault="00FE37F2" w:rsidP="00FE37F2">
      <w:r>
        <w:t xml:space="preserve">van het toezicht en de gemaakte keuzes. De leden van de </w:t>
      </w:r>
      <w:r w:rsidR="005073C5">
        <w:t>Raad van Toezicht</w:t>
      </w:r>
      <w:r>
        <w:t xml:space="preserve"> zijn stimulerend en </w:t>
      </w:r>
    </w:p>
    <w:p w14:paraId="3D1C1EF6" w14:textId="77777777" w:rsidR="00FE37F2" w:rsidRPr="00C7787D" w:rsidRDefault="00FE37F2" w:rsidP="00ED056A">
      <w:r>
        <w:t xml:space="preserve">kritisch naar elkaar als team, hetgeen onder andere tot uiting komt in de </w:t>
      </w:r>
      <w:r w:rsidRPr="00C7787D">
        <w:t xml:space="preserve">evaluatie aan het eind van </w:t>
      </w:r>
    </w:p>
    <w:p w14:paraId="7ADC96AF" w14:textId="77777777" w:rsidR="00FE37F2" w:rsidRDefault="00FE37F2" w:rsidP="00ED056A">
      <w:r w:rsidRPr="00C7787D">
        <w:t>iedere vergadering en de</w:t>
      </w:r>
      <w:r>
        <w:t xml:space="preserve"> jaarlijkse (zelf)evaluatie. Voorstellen en voorgenomen besluiten worden </w:t>
      </w:r>
    </w:p>
    <w:p w14:paraId="7B8DB72C" w14:textId="77777777" w:rsidR="00FE37F2" w:rsidRDefault="00FE37F2" w:rsidP="00FE37F2">
      <w:r>
        <w:t xml:space="preserve">beoordeeld in het licht van de visie en waarden en de haalbaarheid en betekenis in de alledaagse </w:t>
      </w:r>
    </w:p>
    <w:p w14:paraId="06B92014" w14:textId="77777777" w:rsidR="00FE37F2" w:rsidRDefault="00FE37F2" w:rsidP="00FE37F2">
      <w:r>
        <w:t xml:space="preserve">praktijk. </w:t>
      </w:r>
    </w:p>
    <w:p w14:paraId="117A5358" w14:textId="77777777" w:rsidR="005F7664" w:rsidRDefault="005F7664" w:rsidP="00FE37F2"/>
    <w:p w14:paraId="071053F2" w14:textId="77777777" w:rsidR="00FE37F2" w:rsidRDefault="00FE37F2" w:rsidP="005F7664">
      <w:pPr>
        <w:pStyle w:val="groen"/>
      </w:pPr>
      <w:r>
        <w:t xml:space="preserve">Informatievergaring </w:t>
      </w:r>
    </w:p>
    <w:p w14:paraId="187112A1" w14:textId="77777777" w:rsidR="00FE37F2" w:rsidRDefault="00FE37F2" w:rsidP="00FE37F2">
      <w:r>
        <w:t xml:space="preserve">Om goed toezicht te kunnen houden is een integrale (zowel qua inhoud als kwantitatief en kwalitatief) </w:t>
      </w:r>
    </w:p>
    <w:p w14:paraId="44E4684E" w14:textId="77777777" w:rsidR="00FE37F2" w:rsidRDefault="00FE37F2" w:rsidP="00FE37F2">
      <w:r>
        <w:t xml:space="preserve">benadering van de jaarcyclus gewenst. Dit betekent dat wij informatie vergaren uit interne stukken </w:t>
      </w:r>
    </w:p>
    <w:p w14:paraId="65C44567" w14:textId="49474DB0" w:rsidR="00FE37F2" w:rsidRDefault="00FE37F2" w:rsidP="005073C5">
      <w:r>
        <w:t>zoals strategische plannen, kwartaalrapportages op het gebied van financiën</w:t>
      </w:r>
      <w:r w:rsidR="00680381">
        <w:t xml:space="preserve"> en verzuim, </w:t>
      </w:r>
      <w:r w:rsidR="00D9113C">
        <w:t xml:space="preserve">voortgangsrapportages, </w:t>
      </w:r>
      <w:r>
        <w:t>etc. Ook externe stukken zijn relevant</w:t>
      </w:r>
      <w:r w:rsidR="00947002">
        <w:t>.</w:t>
      </w:r>
      <w:r w:rsidR="0001338A">
        <w:t xml:space="preserve"> Daarnaast beperkt de raad zich niet alleen tot stukken, maar doen wij ook aan triangulatie om een beeld te vormen over wat er in de organisatie leeft en speelt. </w:t>
      </w:r>
    </w:p>
    <w:p w14:paraId="48DAD33B" w14:textId="77777777" w:rsidR="00D9113C" w:rsidRDefault="00D9113C" w:rsidP="00FE37F2"/>
    <w:p w14:paraId="35A77F46" w14:textId="2464C4B3" w:rsidR="00FE37F2" w:rsidRDefault="00FE37F2" w:rsidP="005073C5">
      <w:pPr>
        <w:pStyle w:val="groen"/>
      </w:pPr>
      <w:r>
        <w:t xml:space="preserve">Horizontaal toezicht </w:t>
      </w:r>
    </w:p>
    <w:p w14:paraId="75CA67C2" w14:textId="48A65048" w:rsidR="00FE37F2" w:rsidRDefault="00FE37F2" w:rsidP="00FE37F2">
      <w:r>
        <w:t xml:space="preserve">De </w:t>
      </w:r>
      <w:r w:rsidR="005073C5">
        <w:t>Raad van Toezicht</w:t>
      </w:r>
      <w:r>
        <w:t xml:space="preserve"> is de sparringpartner, adviseur en klankbord van de </w:t>
      </w:r>
      <w:r w:rsidR="005073C5">
        <w:t>Raad van Bestuur</w:t>
      </w:r>
      <w:r>
        <w:t xml:space="preserve">, met </w:t>
      </w:r>
    </w:p>
    <w:p w14:paraId="70FB7AAE" w14:textId="65013802" w:rsidR="00FE37F2" w:rsidRDefault="00FE37F2" w:rsidP="00FE37F2">
      <w:r>
        <w:lastRenderedPageBreak/>
        <w:t xml:space="preserve">name door vooraan in het proces op strategische vraagstukken die rol in te nemen. De </w:t>
      </w:r>
      <w:r w:rsidR="002F2E76">
        <w:t>R</w:t>
      </w:r>
      <w:r>
        <w:t xml:space="preserve">aad van </w:t>
      </w:r>
    </w:p>
    <w:p w14:paraId="7A9E5321" w14:textId="330B172D" w:rsidR="00FE37F2" w:rsidRDefault="002F2E76" w:rsidP="00FE37F2">
      <w:r>
        <w:t>T</w:t>
      </w:r>
      <w:r w:rsidR="00FE37F2">
        <w:t xml:space="preserve">oezicht handelt vanuit de bedoeling. Naar aanleiding van de verkregen informatie en toelichting over </w:t>
      </w:r>
    </w:p>
    <w:p w14:paraId="26E804D0" w14:textId="77777777" w:rsidR="00FE37F2" w:rsidRDefault="00FE37F2" w:rsidP="00FE37F2">
      <w:r>
        <w:t>dat vraagstuk zal steeds actief worden doorgevraagd op het ‘waarom’ en dialoog worden aangegaan.</w:t>
      </w:r>
    </w:p>
    <w:p w14:paraId="4127211E" w14:textId="77777777" w:rsidR="002F2E76" w:rsidRDefault="002F2E76" w:rsidP="00FE37F2"/>
    <w:p w14:paraId="2E0D61BA" w14:textId="77777777" w:rsidR="00FE37F2" w:rsidRDefault="00FE37F2" w:rsidP="002F2E76">
      <w:pPr>
        <w:pStyle w:val="groen"/>
      </w:pPr>
      <w:r>
        <w:t>Dialoog</w:t>
      </w:r>
    </w:p>
    <w:p w14:paraId="526ADEF5" w14:textId="77777777" w:rsidR="00FE37F2" w:rsidRDefault="00FE37F2" w:rsidP="00FE37F2">
      <w:r>
        <w:t xml:space="preserve">De kwaliteit van de dialoog is cruciaal in het proces van horizontaal toezicht houden. Voor de RvT </w:t>
      </w:r>
    </w:p>
    <w:p w14:paraId="68F8344B" w14:textId="77777777" w:rsidR="00FE37F2" w:rsidRDefault="00FE37F2" w:rsidP="00FE37F2">
      <w:r>
        <w:t xml:space="preserve">betekent dit dat we inzicht willen hebben in en gevoel willen hebben bij hoe het is gesteld met deze </w:t>
      </w:r>
    </w:p>
    <w:p w14:paraId="14FB128A" w14:textId="432D0D39" w:rsidR="00FE37F2" w:rsidRDefault="00FE37F2" w:rsidP="00FE37F2">
      <w:r>
        <w:t xml:space="preserve">kwaliteit van dialoog binnen </w:t>
      </w:r>
      <w:r w:rsidR="000A1E79">
        <w:t>CCE</w:t>
      </w:r>
      <w:r>
        <w:t xml:space="preserve">. Daarbij hebben wij ook aandacht voor de kwaliteit van </w:t>
      </w:r>
    </w:p>
    <w:p w14:paraId="7F03042E" w14:textId="487D1FAA" w:rsidR="00FE37F2" w:rsidRDefault="00FE37F2" w:rsidP="00FE37F2">
      <w:r>
        <w:t>onze eigen dialoog met de bestuurders, medezeggenschaporganen (</w:t>
      </w:r>
      <w:r w:rsidR="000A1E79">
        <w:t>OR</w:t>
      </w:r>
      <w:r>
        <w:t xml:space="preserve">) en medewerkers </w:t>
      </w:r>
    </w:p>
    <w:p w14:paraId="56AD62A5" w14:textId="3EB8F5EC" w:rsidR="00FE37F2" w:rsidRPr="00AF3EE2" w:rsidRDefault="00FE37F2" w:rsidP="00947002">
      <w:pPr>
        <w:rPr>
          <w:strike/>
        </w:rPr>
      </w:pPr>
      <w:r>
        <w:t>van de organisatie</w:t>
      </w:r>
      <w:r w:rsidR="00947002">
        <w:t>.</w:t>
      </w:r>
    </w:p>
    <w:p w14:paraId="54AE37E5" w14:textId="77777777" w:rsidR="00FE37F2" w:rsidRDefault="00FE37F2" w:rsidP="00FE37F2">
      <w:r>
        <w:t xml:space="preserve">In de dialoog staat niet centraal welke oplossingen zijn gekozen, maar hoe ze tot stand zijn gekomen. </w:t>
      </w:r>
    </w:p>
    <w:p w14:paraId="3AA331DF" w14:textId="77777777" w:rsidR="00FE37F2" w:rsidRDefault="00FE37F2" w:rsidP="00FE37F2">
      <w:r>
        <w:t xml:space="preserve">Bij ons toezichthouden beoordelen wij onder andere of er ruimte is voor andere/afwijkende meningen, </w:t>
      </w:r>
    </w:p>
    <w:p w14:paraId="21BCFE26" w14:textId="77777777" w:rsidR="00FE37F2" w:rsidRDefault="00FE37F2" w:rsidP="00FE37F2">
      <w:r>
        <w:t xml:space="preserve">hoe deze worden benut en meegenomen in de besluitvorming, welke afwegingen zijn gemaakt bij de </w:t>
      </w:r>
    </w:p>
    <w:p w14:paraId="32C4B9CB" w14:textId="5777E508" w:rsidR="00FE37F2" w:rsidRDefault="00FE37F2" w:rsidP="00FE37F2">
      <w:r>
        <w:t>besluitvorming</w:t>
      </w:r>
      <w:r w:rsidR="00E94989">
        <w:t xml:space="preserve"> en indien van </w:t>
      </w:r>
      <w:r w:rsidR="00E94989" w:rsidRPr="00947002">
        <w:t>toepassing</w:t>
      </w:r>
      <w:r w:rsidRPr="00947002">
        <w:t xml:space="preserve"> in hoeverre andere partners zijn betrokken of, en zo ja, hoe vigerende wet- en regelgeving is gewogen</w:t>
      </w:r>
      <w:r w:rsidR="0086306C" w:rsidRPr="00947002">
        <w:t>.</w:t>
      </w:r>
      <w:r w:rsidR="0086306C">
        <w:t xml:space="preserve"> </w:t>
      </w:r>
    </w:p>
    <w:p w14:paraId="40187F88" w14:textId="77777777" w:rsidR="00FE37F2" w:rsidRDefault="00FE37F2" w:rsidP="00FE37F2">
      <w:r>
        <w:t xml:space="preserve"> </w:t>
      </w:r>
    </w:p>
    <w:p w14:paraId="21BB7DEA" w14:textId="77777777" w:rsidR="00FE37F2" w:rsidRDefault="00FE37F2" w:rsidP="00FE37F2">
      <w:r>
        <w:t xml:space="preserve">Eigentijds toezicht in een raad van 6 leden vraagt diversiteit en complementariteit in deskundigheid en </w:t>
      </w:r>
    </w:p>
    <w:p w14:paraId="30DA4384" w14:textId="77777777" w:rsidR="00FE37F2" w:rsidRDefault="00FE37F2" w:rsidP="00FE37F2">
      <w:r>
        <w:t xml:space="preserve">drijfveren van leden, als ook ruim voldoende tijd en beschikbaarheid. </w:t>
      </w:r>
    </w:p>
    <w:p w14:paraId="43876228" w14:textId="77777777" w:rsidR="00065E22" w:rsidRDefault="00065E22" w:rsidP="00FE37F2"/>
    <w:p w14:paraId="405CD9B2" w14:textId="77777777" w:rsidR="00FE37F2" w:rsidRDefault="00FE37F2" w:rsidP="00FE37F2">
      <w:r>
        <w:t xml:space="preserve">Wij hechten er waarde aan de ‘grote onderwerpen’ tijdig in de voltallige raad diepgaand te </w:t>
      </w:r>
    </w:p>
    <w:p w14:paraId="45186B17" w14:textId="77777777" w:rsidR="00FE37F2" w:rsidRDefault="00FE37F2" w:rsidP="00FE37F2">
      <w:r>
        <w:t xml:space="preserve">behandelen. Voor het effectief opereren van de raad is daarbij het relevant om op de agenda van de </w:t>
      </w:r>
    </w:p>
    <w:p w14:paraId="54D11AA2" w14:textId="0EE022DB" w:rsidR="00FE37F2" w:rsidRDefault="005073C5" w:rsidP="00FE37F2">
      <w:r>
        <w:t>Raad van Toezicht</w:t>
      </w:r>
      <w:r w:rsidR="00FE37F2">
        <w:t xml:space="preserve"> de status goed te onderscheiden: ter informatie, ter beeldvorming, ter </w:t>
      </w:r>
    </w:p>
    <w:p w14:paraId="74F7AB6A" w14:textId="77777777" w:rsidR="00FE37F2" w:rsidRDefault="00FE37F2" w:rsidP="00FE37F2">
      <w:r>
        <w:t xml:space="preserve">oordeelsvorming, ter besluitvorming of ter goedkeuring. </w:t>
      </w:r>
    </w:p>
    <w:p w14:paraId="7D5D4456" w14:textId="77777777" w:rsidR="009B1E1D" w:rsidRDefault="009B1E1D" w:rsidP="00FE37F2"/>
    <w:p w14:paraId="1435904B" w14:textId="1C91F47D" w:rsidR="00FE37F2" w:rsidRDefault="00FE37F2" w:rsidP="00FE37F2">
      <w:r>
        <w:t xml:space="preserve">Wij werken met </w:t>
      </w:r>
      <w:r w:rsidR="00947002">
        <w:t xml:space="preserve">twee </w:t>
      </w:r>
      <w:r w:rsidR="008A30C7">
        <w:t xml:space="preserve">specifieke </w:t>
      </w:r>
      <w:r>
        <w:t>portefeuille</w:t>
      </w:r>
      <w:r w:rsidR="00947002">
        <w:t>s</w:t>
      </w:r>
      <w:r>
        <w:t xml:space="preserve"> (</w:t>
      </w:r>
      <w:r w:rsidR="008A30C7">
        <w:t>Financiën</w:t>
      </w:r>
      <w:r w:rsidR="00947002">
        <w:t xml:space="preserve"> en Remuneratie</w:t>
      </w:r>
      <w:r w:rsidR="008A30C7">
        <w:t xml:space="preserve">) </w:t>
      </w:r>
      <w:r w:rsidR="002F473E">
        <w:t xml:space="preserve">en </w:t>
      </w:r>
      <w:r>
        <w:t>houd</w:t>
      </w:r>
      <w:r w:rsidR="002F473E">
        <w:t>en</w:t>
      </w:r>
      <w:r>
        <w:t xml:space="preserve"> oog voor de collegialiteit van de raad.</w:t>
      </w:r>
    </w:p>
    <w:p w14:paraId="7B89F7BD" w14:textId="77777777" w:rsidR="00CF2CED" w:rsidRDefault="00CF2CED" w:rsidP="00FE37F2"/>
    <w:p w14:paraId="30821038" w14:textId="77777777" w:rsidR="00FE37F2" w:rsidRDefault="00FE37F2" w:rsidP="00FE37F2"/>
    <w:p w14:paraId="1D5F27F6" w14:textId="451A2B65" w:rsidR="00FE37F2" w:rsidRDefault="00FE37F2" w:rsidP="00913017">
      <w:pPr>
        <w:pStyle w:val="Kop1"/>
      </w:pPr>
      <w:bookmarkStart w:id="4" w:name="_Toc147488470"/>
      <w:r>
        <w:t>Werkgever</w:t>
      </w:r>
      <w:bookmarkEnd w:id="4"/>
      <w:r>
        <w:t xml:space="preserve"> </w:t>
      </w:r>
    </w:p>
    <w:p w14:paraId="668CD0E5" w14:textId="77777777" w:rsidR="00FE37F2" w:rsidRDefault="00FE37F2" w:rsidP="00FE37F2">
      <w:r>
        <w:t>De uitgangspunten voor het inrichten van goed werkgeverschap met de bestuurder zijn:</w:t>
      </w:r>
    </w:p>
    <w:p w14:paraId="4336DACD" w14:textId="3651D62E" w:rsidR="00FE37F2" w:rsidRDefault="00FE37F2" w:rsidP="00CF2CED">
      <w:pPr>
        <w:pStyle w:val="CCEopsomming1"/>
      </w:pPr>
      <w:r>
        <w:t>een continue open en constructief kritische dialoog;</w:t>
      </w:r>
    </w:p>
    <w:p w14:paraId="2A74BCBF" w14:textId="09236563" w:rsidR="00FE37F2" w:rsidRDefault="00FE37F2" w:rsidP="00CF2CED">
      <w:pPr>
        <w:pStyle w:val="CCEopsomming1"/>
      </w:pPr>
      <w:r>
        <w:t>over en weer transparantie over resultaten en ontwikkelingsbehoefte;</w:t>
      </w:r>
    </w:p>
    <w:p w14:paraId="5B79AFCB" w14:textId="011E0BCA" w:rsidR="00FE37F2" w:rsidRDefault="00FE37F2" w:rsidP="00CF2CED">
      <w:pPr>
        <w:pStyle w:val="CCEopsomming1"/>
      </w:pPr>
      <w:r>
        <w:t>een jaarlijks evaluatie met een schriftelijke verslaglegging daarvan;</w:t>
      </w:r>
    </w:p>
    <w:p w14:paraId="6659F8BA" w14:textId="1F9BCC0F" w:rsidR="00FE37F2" w:rsidRDefault="00FE37F2" w:rsidP="00CF2CED">
      <w:pPr>
        <w:pStyle w:val="CCEopsomming1"/>
      </w:pPr>
      <w:r>
        <w:t>360° feedback.</w:t>
      </w:r>
    </w:p>
    <w:p w14:paraId="327BEE6E" w14:textId="77777777" w:rsidR="00D50BA6" w:rsidRDefault="00D50BA6" w:rsidP="00FE37F2"/>
    <w:p w14:paraId="24A7ECAF" w14:textId="40B31D68" w:rsidR="00FE37F2" w:rsidRDefault="00FE37F2" w:rsidP="00FE37F2">
      <w:r>
        <w:t xml:space="preserve">Daarnaast hebben wij aandacht voor de persoon van de bestuurder in de eigen context, voor de </w:t>
      </w:r>
    </w:p>
    <w:p w14:paraId="592FCBBE" w14:textId="77777777" w:rsidR="00FE37F2" w:rsidRDefault="00FE37F2" w:rsidP="00FE37F2">
      <w:r>
        <w:t>persoonlijke elementen van leiderschap en eigen drijfveren.</w:t>
      </w:r>
    </w:p>
    <w:p w14:paraId="6827C1B3" w14:textId="77777777" w:rsidR="00D50BA6" w:rsidRDefault="00D50BA6" w:rsidP="00FE37F2"/>
    <w:p w14:paraId="23BBC8AD" w14:textId="77777777" w:rsidR="00FE37F2" w:rsidRDefault="00FE37F2" w:rsidP="00FE37F2"/>
    <w:p w14:paraId="19A80D85" w14:textId="6A64A5FF" w:rsidR="00FE37F2" w:rsidRDefault="00FE37F2" w:rsidP="00913017">
      <w:pPr>
        <w:pStyle w:val="Kop1"/>
      </w:pPr>
      <w:bookmarkStart w:id="5" w:name="_Toc147488471"/>
      <w:r>
        <w:t xml:space="preserve">Continue </w:t>
      </w:r>
      <w:r w:rsidR="000D7339">
        <w:t>o</w:t>
      </w:r>
      <w:r>
        <w:t>ntwikkeling</w:t>
      </w:r>
      <w:bookmarkEnd w:id="5"/>
      <w:r>
        <w:t xml:space="preserve"> </w:t>
      </w:r>
    </w:p>
    <w:p w14:paraId="5F1B6475" w14:textId="77777777" w:rsidR="00FE37F2" w:rsidRDefault="00FE37F2" w:rsidP="00FE37F2">
      <w:r>
        <w:t xml:space="preserve">Voor een goede uitvoering van ons toezicht zorgen wij voor een continue opleiding en </w:t>
      </w:r>
    </w:p>
    <w:p w14:paraId="38E9BEBC" w14:textId="77777777" w:rsidR="00FE37F2" w:rsidRDefault="00FE37F2" w:rsidP="00FE37F2">
      <w:r>
        <w:lastRenderedPageBreak/>
        <w:t xml:space="preserve">deskundigheidsbevordering van zowel de individuele leden als de raad als geheel al dan niet in </w:t>
      </w:r>
    </w:p>
    <w:p w14:paraId="7A471127" w14:textId="77777777" w:rsidR="00FE37F2" w:rsidRDefault="00FE37F2" w:rsidP="00FE37F2">
      <w:r>
        <w:t xml:space="preserve">combinatie met teambuildings activiteiten. Wij streven een klimaat na waarin fouten kunnen worden </w:t>
      </w:r>
    </w:p>
    <w:p w14:paraId="136A03BA" w14:textId="77777777" w:rsidR="00FE37F2" w:rsidRDefault="00FE37F2" w:rsidP="00FE37F2">
      <w:r>
        <w:t xml:space="preserve">besproken en waarbij er sprake is van een lerende cultuur. Daarnaast streven wij een klimaat na </w:t>
      </w:r>
    </w:p>
    <w:p w14:paraId="651DA21A" w14:textId="77777777" w:rsidR="00FE37F2" w:rsidRDefault="00FE37F2" w:rsidP="00FE37F2">
      <w:r>
        <w:t xml:space="preserve">waarin de leden elkaar durven aanspreken en discussies over de inhoud niet leiden tot druk op de </w:t>
      </w:r>
    </w:p>
    <w:p w14:paraId="3CE0ADBE" w14:textId="77777777" w:rsidR="00FE37F2" w:rsidRDefault="00FE37F2" w:rsidP="00FE37F2">
      <w:r>
        <w:t xml:space="preserve">relatie. Wij zorgen voor voldoende diversiteit in het team. Niet alleen op het gebied van kennis en </w:t>
      </w:r>
    </w:p>
    <w:p w14:paraId="244DA78F" w14:textId="127613E3" w:rsidR="00FE37F2" w:rsidRDefault="00FE37F2" w:rsidP="00FE37F2">
      <w:r>
        <w:t>kunde maar ook in persoonlijke stijl</w:t>
      </w:r>
    </w:p>
    <w:p w14:paraId="6C49414B" w14:textId="77777777" w:rsidR="00BA093B" w:rsidRDefault="00BA093B" w:rsidP="00FE37F2"/>
    <w:p w14:paraId="08DFC285" w14:textId="6C748ACA" w:rsidR="00BA093B" w:rsidRDefault="00BA093B" w:rsidP="003B4CD3">
      <w:pPr>
        <w:pStyle w:val="oranje"/>
      </w:pPr>
      <w:r>
        <w:t>Scholingsplan</w:t>
      </w:r>
    </w:p>
    <w:p w14:paraId="00E41BFA" w14:textId="5AE2A0D4" w:rsidR="00BA093B" w:rsidRPr="00FD1FD7" w:rsidRDefault="006975F5" w:rsidP="00FE37F2">
      <w:r>
        <w:t>Jaarlijks stemt de raad met elk</w:t>
      </w:r>
      <w:r w:rsidR="009F282B">
        <w:t>aar</w:t>
      </w:r>
      <w:r>
        <w:t xml:space="preserve"> af welke scholingsbehoefte er ligt en </w:t>
      </w:r>
      <w:r w:rsidR="00077FE4">
        <w:t xml:space="preserve">wat er aan scholing wordt gedaan op individueel vlak of als raad gezamenlijk. Hierbij stemt de raad ook onderling af hoe het scholingsbudget wordt ingezet. </w:t>
      </w:r>
    </w:p>
    <w:sectPr w:rsidR="00BA093B" w:rsidRPr="00FD1FD7" w:rsidSect="00214CFF">
      <w:headerReference w:type="default" r:id="rId11"/>
      <w:footerReference w:type="default" r:id="rId12"/>
      <w:pgSz w:w="11906" w:h="16838" w:code="9"/>
      <w:pgMar w:top="3090" w:right="1106" w:bottom="1418" w:left="1247" w:header="879" w:footer="6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BA85D" w14:textId="77777777" w:rsidR="00214CFF" w:rsidRDefault="00214CFF" w:rsidP="00A75579">
      <w:pPr>
        <w:spacing w:line="240" w:lineRule="auto"/>
      </w:pPr>
      <w:r>
        <w:separator/>
      </w:r>
    </w:p>
  </w:endnote>
  <w:endnote w:type="continuationSeparator" w:id="0">
    <w:p w14:paraId="6D22F2CA" w14:textId="77777777" w:rsidR="00214CFF" w:rsidRDefault="00214CFF" w:rsidP="00A755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CE177" w14:textId="1A0E3DC9" w:rsidR="00574E2D" w:rsidRDefault="00E803DF">
    <w:pPr>
      <w:pStyle w:val="Voettekst"/>
    </w:pPr>
    <w:r>
      <w:t>Toezichtvisie RvT CCE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CD901" w14:textId="77777777" w:rsidR="00214CFF" w:rsidRDefault="00214CFF" w:rsidP="00A75579">
      <w:pPr>
        <w:spacing w:line="240" w:lineRule="auto"/>
      </w:pPr>
      <w:r>
        <w:t xml:space="preserve"> </w:t>
      </w:r>
    </w:p>
  </w:footnote>
  <w:footnote w:type="continuationSeparator" w:id="0">
    <w:p w14:paraId="62B1CED5" w14:textId="77777777" w:rsidR="00214CFF" w:rsidRDefault="00214CFF" w:rsidP="00A75579">
      <w:pPr>
        <w:spacing w:line="240" w:lineRule="auto"/>
      </w:pPr>
      <w:r>
        <w:continuationSeparator/>
      </w:r>
    </w:p>
  </w:footnote>
  <w:footnote w:id="1">
    <w:p w14:paraId="47226A7A" w14:textId="2F70B733" w:rsidR="00FF7747" w:rsidRDefault="00FF7747" w:rsidP="00CF2CED">
      <w:pPr>
        <w:pStyle w:val="Voetnoottekst"/>
        <w:spacing w:line="240" w:lineRule="auto"/>
      </w:pPr>
      <w:r>
        <w:rPr>
          <w:rStyle w:val="Voetnootmarkering"/>
        </w:rPr>
        <w:footnoteRef/>
      </w:r>
      <w:r>
        <w:t xml:space="preserve"> </w:t>
      </w:r>
      <w:r w:rsidRPr="00FF7747">
        <w:t>Governancecode Zorg 2022, hyperlink: https://www.governancecodezorg.nl/</w:t>
      </w:r>
    </w:p>
  </w:footnote>
  <w:footnote w:id="2">
    <w:p w14:paraId="24E159D3" w14:textId="7D0B2E4C" w:rsidR="00FF7747" w:rsidRDefault="00FF7747" w:rsidP="00CF2CED">
      <w:pPr>
        <w:pStyle w:val="Voetnoottekst"/>
        <w:spacing w:line="240" w:lineRule="auto"/>
      </w:pPr>
      <w:r>
        <w:rPr>
          <w:rStyle w:val="Voetnootmarkering"/>
        </w:rPr>
        <w:footnoteRef/>
      </w:r>
      <w:r>
        <w:t xml:space="preserve"> </w:t>
      </w:r>
      <w:r w:rsidRPr="00FF7747">
        <w:t>NVTZ, Goed Toezicht 2017, hyperlink: https://www.nvtz.nl/wat-doen-we/goed-toezicht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F8793" w14:textId="7C0F510B" w:rsidR="00A75579" w:rsidRDefault="00C7159E" w:rsidP="00574E2D">
    <w:pPr>
      <w:pStyle w:val="Koptekst"/>
    </w:pPr>
    <w:r>
      <w:fldChar w:fldCharType="begin"/>
    </w:r>
    <w:r>
      <w:instrText xml:space="preserve"> IF </w:instrText>
    </w:r>
    <w:r>
      <w:fldChar w:fldCharType="begin"/>
    </w:r>
    <w:r>
      <w:instrText xml:space="preserve"> page </w:instrText>
    </w:r>
    <w:r>
      <w:fldChar w:fldCharType="separate"/>
    </w:r>
    <w:r w:rsidR="006449E5">
      <w:rPr>
        <w:noProof/>
      </w:rPr>
      <w:instrText>6</w:instrText>
    </w:r>
    <w:r>
      <w:fldChar w:fldCharType="end"/>
    </w:r>
    <w:r>
      <w:instrText xml:space="preserve"> = </w:instrText>
    </w:r>
    <w:r w:rsidR="00574E2D">
      <w:instrText>1 ""</w:instrText>
    </w:r>
    <w:r>
      <w:instrText xml:space="preserve"> "</w:instrText>
    </w:r>
    <w:r w:rsidR="00574E2D">
      <w:instrText xml:space="preserve">pag. </w:instrText>
    </w:r>
    <w:r w:rsidR="00574E2D">
      <w:fldChar w:fldCharType="begin"/>
    </w:r>
    <w:r w:rsidR="00574E2D">
      <w:instrText xml:space="preserve"> page </w:instrText>
    </w:r>
    <w:r w:rsidR="00574E2D">
      <w:fldChar w:fldCharType="separate"/>
    </w:r>
    <w:r w:rsidR="006449E5">
      <w:rPr>
        <w:noProof/>
      </w:rPr>
      <w:instrText>6</w:instrText>
    </w:r>
    <w:r w:rsidR="00574E2D">
      <w:fldChar w:fldCharType="end"/>
    </w:r>
    <w:r w:rsidR="00574E2D">
      <w:instrText xml:space="preserve"> van </w:instrText>
    </w:r>
    <w:r w:rsidR="00000000">
      <w:fldChar w:fldCharType="begin"/>
    </w:r>
    <w:r w:rsidR="00000000">
      <w:instrText xml:space="preserve"> numpages </w:instrText>
    </w:r>
    <w:r w:rsidR="00000000">
      <w:fldChar w:fldCharType="separate"/>
    </w:r>
    <w:r w:rsidR="006449E5">
      <w:rPr>
        <w:noProof/>
      </w:rPr>
      <w:instrText>6</w:instrText>
    </w:r>
    <w:r w:rsidR="00000000">
      <w:rPr>
        <w:noProof/>
      </w:rPr>
      <w:fldChar w:fldCharType="end"/>
    </w:r>
    <w:r>
      <w:instrText xml:space="preserve">" </w:instrText>
    </w:r>
    <w:r w:rsidR="006449E5">
      <w:fldChar w:fldCharType="separate"/>
    </w:r>
    <w:r w:rsidR="006449E5">
      <w:rPr>
        <w:noProof/>
      </w:rPr>
      <w:t>pag. 6 van 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3.8pt;height:3.8pt" o:bullet="t">
        <v:imagedata r:id="rId1" o:title="icon_opsomming"/>
      </v:shape>
    </w:pict>
  </w:numPicBullet>
  <w:numPicBullet w:numPicBulletId="1">
    <w:pict>
      <v:shape id="_x0000_i1084" type="#_x0000_t75" style="width:26.15pt;height:35.25pt" o:bullet="t">
        <v:imagedata r:id="rId2" o:title="opsomming_kleiner"/>
      </v:shape>
    </w:pict>
  </w:numPicBullet>
  <w:abstractNum w:abstractNumId="0" w15:restartNumberingAfterBreak="0">
    <w:nsid w:val="08E62035"/>
    <w:multiLevelType w:val="multilevel"/>
    <w:tmpl w:val="33B06A8E"/>
    <w:numStyleLink w:val="CCEKopNummering"/>
  </w:abstractNum>
  <w:abstractNum w:abstractNumId="1" w15:restartNumberingAfterBreak="0">
    <w:nsid w:val="0B351FE6"/>
    <w:multiLevelType w:val="multilevel"/>
    <w:tmpl w:val="67AA3B72"/>
    <w:numStyleLink w:val="CCEnummering"/>
  </w:abstractNum>
  <w:abstractNum w:abstractNumId="2" w15:restartNumberingAfterBreak="0">
    <w:nsid w:val="150045F4"/>
    <w:multiLevelType w:val="multilevel"/>
    <w:tmpl w:val="67AA3B72"/>
    <w:numStyleLink w:val="CCEnummering"/>
  </w:abstractNum>
  <w:abstractNum w:abstractNumId="3" w15:restartNumberingAfterBreak="0">
    <w:nsid w:val="16B137AF"/>
    <w:multiLevelType w:val="multilevel"/>
    <w:tmpl w:val="33B06A8E"/>
    <w:numStyleLink w:val="CCEKopNummering"/>
  </w:abstractNum>
  <w:abstractNum w:abstractNumId="4" w15:restartNumberingAfterBreak="0">
    <w:nsid w:val="17710853"/>
    <w:multiLevelType w:val="multilevel"/>
    <w:tmpl w:val="33B06A8E"/>
    <w:styleLink w:val="CCEKopNummering"/>
    <w:lvl w:ilvl="0">
      <w:start w:val="1"/>
      <w:numFmt w:val="decimal"/>
      <w:pStyle w:val="Kop1"/>
      <w:lvlText w:val="%1."/>
      <w:lvlJc w:val="left"/>
      <w:pPr>
        <w:ind w:left="340" w:hanging="340"/>
      </w:pPr>
      <w:rPr>
        <w:rFonts w:hint="default"/>
      </w:rPr>
    </w:lvl>
    <w:lvl w:ilvl="1">
      <w:start w:val="1"/>
      <w:numFmt w:val="decimal"/>
      <w:pStyle w:val="Kop2"/>
      <w:lvlText w:val="%1.%2."/>
      <w:lvlJc w:val="left"/>
      <w:pPr>
        <w:ind w:left="794" w:hanging="454"/>
      </w:pPr>
      <w:rPr>
        <w:rFonts w:hint="default"/>
      </w:rPr>
    </w:lvl>
    <w:lvl w:ilvl="2">
      <w:start w:val="1"/>
      <w:numFmt w:val="decimal"/>
      <w:pStyle w:val="Kop3"/>
      <w:lvlText w:val="%1.%2.%3."/>
      <w:lvlJc w:val="left"/>
      <w:pPr>
        <w:ind w:left="1134" w:hanging="3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FD4A33"/>
    <w:multiLevelType w:val="multilevel"/>
    <w:tmpl w:val="81CAC536"/>
    <w:numStyleLink w:val="CCEopsomming"/>
  </w:abstractNum>
  <w:abstractNum w:abstractNumId="6" w15:restartNumberingAfterBreak="0">
    <w:nsid w:val="24017BD4"/>
    <w:multiLevelType w:val="multilevel"/>
    <w:tmpl w:val="B11C3054"/>
    <w:lvl w:ilvl="0">
      <w:start w:val="1"/>
      <w:numFmt w:val="decimal"/>
      <w:lvlText w:val="%1."/>
      <w:lvlJc w:val="left"/>
      <w:pPr>
        <w:tabs>
          <w:tab w:val="num" w:pos="425"/>
        </w:tabs>
        <w:ind w:left="425" w:hanging="425"/>
      </w:pPr>
      <w:rPr>
        <w:rFonts w:ascii="Arial" w:hAnsi="Arial" w:hint="default"/>
        <w:color w:val="000000" w:themeColor="text1"/>
        <w:sz w:val="20"/>
      </w:rPr>
    </w:lvl>
    <w:lvl w:ilvl="1">
      <w:start w:val="1"/>
      <w:numFmt w:val="decimal"/>
      <w:lvlRestart w:val="0"/>
      <w:lvlText w:val="%2.%1."/>
      <w:lvlJc w:val="left"/>
      <w:pPr>
        <w:tabs>
          <w:tab w:val="num" w:pos="907"/>
        </w:tabs>
        <w:ind w:left="907" w:hanging="510"/>
      </w:pPr>
      <w:rPr>
        <w:rFonts w:hint="default"/>
      </w:rPr>
    </w:lvl>
    <w:lvl w:ilvl="2">
      <w:start w:val="1"/>
      <w:numFmt w:val="decimal"/>
      <w:lvlRestart w:val="0"/>
      <w:lvlText w:val="%3.%1.%2."/>
      <w:lvlJc w:val="left"/>
      <w:pPr>
        <w:tabs>
          <w:tab w:val="num" w:pos="1588"/>
        </w:tabs>
        <w:ind w:left="1588" w:hanging="681"/>
      </w:pPr>
      <w:rPr>
        <w:rFonts w:hint="default"/>
      </w:rPr>
    </w:lvl>
    <w:lvl w:ilvl="3">
      <w:start w:val="1"/>
      <w:numFmt w:val="decimal"/>
      <w:lvlRestart w:val="0"/>
      <w:lvlText w:val="%4.%1.%2.%3."/>
      <w:lvlJc w:val="left"/>
      <w:pPr>
        <w:tabs>
          <w:tab w:val="num" w:pos="2438"/>
        </w:tabs>
        <w:ind w:left="2552" w:hanging="964"/>
      </w:pPr>
      <w:rPr>
        <w:rFonts w:hint="default"/>
      </w:rPr>
    </w:lvl>
    <w:lvl w:ilvl="4">
      <w:start w:val="1"/>
      <w:numFmt w:val="decimal"/>
      <w:lvlRestart w:val="0"/>
      <w:lvlText w:val="%5.%1.%2.%3.%4."/>
      <w:lvlJc w:val="left"/>
      <w:pPr>
        <w:tabs>
          <w:tab w:val="num" w:pos="3402"/>
        </w:tabs>
        <w:ind w:left="3402" w:hanging="964"/>
      </w:pPr>
      <w:rPr>
        <w:rFonts w:hint="default"/>
      </w:rPr>
    </w:lvl>
    <w:lvl w:ilvl="5">
      <w:start w:val="1"/>
      <w:numFmt w:val="lowerRoman"/>
      <w:lvlText w:val="%6."/>
      <w:lvlJc w:val="right"/>
      <w:pPr>
        <w:tabs>
          <w:tab w:val="num" w:pos="4423"/>
        </w:tabs>
        <w:ind w:left="4423" w:hanging="283"/>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5C94804"/>
    <w:multiLevelType w:val="multilevel"/>
    <w:tmpl w:val="67AA3B72"/>
    <w:styleLink w:val="CCEnummering"/>
    <w:lvl w:ilvl="0">
      <w:start w:val="1"/>
      <w:numFmt w:val="decimal"/>
      <w:pStyle w:val="CCEnummering1"/>
      <w:lvlText w:val="%1."/>
      <w:lvlJc w:val="left"/>
      <w:pPr>
        <w:ind w:left="227" w:hanging="227"/>
      </w:pPr>
      <w:rPr>
        <w:rFonts w:hint="default"/>
        <w:color w:val="AEA922" w:themeColor="accent3"/>
      </w:rPr>
    </w:lvl>
    <w:lvl w:ilvl="1">
      <w:start w:val="1"/>
      <w:numFmt w:val="lowerLetter"/>
      <w:lvlText w:val="%2."/>
      <w:lvlJc w:val="left"/>
      <w:pPr>
        <w:ind w:left="454" w:hanging="227"/>
      </w:pPr>
      <w:rPr>
        <w:rFonts w:hint="default"/>
        <w:color w:val="AEA922" w:themeColor="accent3"/>
      </w:rPr>
    </w:lvl>
    <w:lvl w:ilvl="2">
      <w:start w:val="1"/>
      <w:numFmt w:val="lowerRoman"/>
      <w:lvlText w:val="%3."/>
      <w:lvlJc w:val="left"/>
      <w:pPr>
        <w:ind w:left="680" w:hanging="226"/>
      </w:pPr>
      <w:rPr>
        <w:rFonts w:hint="default"/>
        <w:color w:val="AEA922" w:themeColor="accent3"/>
      </w:rPr>
    </w:lvl>
    <w:lvl w:ilvl="3">
      <w:start w:val="1"/>
      <w:numFmt w:val="decimal"/>
      <w:lvlText w:val="%4."/>
      <w:lvlJc w:val="left"/>
      <w:pPr>
        <w:ind w:left="907" w:hanging="227"/>
      </w:pPr>
      <w:rPr>
        <w:rFonts w:hint="default"/>
        <w:color w:val="AEA922" w:themeColor="accent3"/>
      </w:rPr>
    </w:lvl>
    <w:lvl w:ilvl="4">
      <w:start w:val="1"/>
      <w:numFmt w:val="none"/>
      <w:lvlText w:val=""/>
      <w:lvlJc w:val="left"/>
      <w:pPr>
        <w:ind w:left="907" w:hanging="227"/>
      </w:pPr>
      <w:rPr>
        <w:rFonts w:hint="default"/>
      </w:rPr>
    </w:lvl>
    <w:lvl w:ilvl="5">
      <w:start w:val="1"/>
      <w:numFmt w:val="none"/>
      <w:lvlText w:val=""/>
      <w:lvlJc w:val="left"/>
      <w:pPr>
        <w:ind w:left="907" w:hanging="227"/>
      </w:pPr>
      <w:rPr>
        <w:rFonts w:hint="default"/>
      </w:rPr>
    </w:lvl>
    <w:lvl w:ilvl="6">
      <w:start w:val="1"/>
      <w:numFmt w:val="none"/>
      <w:lvlText w:val=""/>
      <w:lvlJc w:val="left"/>
      <w:pPr>
        <w:ind w:left="907" w:hanging="227"/>
      </w:pPr>
      <w:rPr>
        <w:rFonts w:hint="default"/>
      </w:rPr>
    </w:lvl>
    <w:lvl w:ilvl="7">
      <w:start w:val="1"/>
      <w:numFmt w:val="none"/>
      <w:lvlText w:val=""/>
      <w:lvlJc w:val="left"/>
      <w:pPr>
        <w:ind w:left="907" w:hanging="227"/>
      </w:pPr>
      <w:rPr>
        <w:rFonts w:hint="default"/>
      </w:rPr>
    </w:lvl>
    <w:lvl w:ilvl="8">
      <w:start w:val="1"/>
      <w:numFmt w:val="none"/>
      <w:lvlText w:val=""/>
      <w:lvlJc w:val="left"/>
      <w:pPr>
        <w:ind w:left="907" w:hanging="227"/>
      </w:pPr>
      <w:rPr>
        <w:rFonts w:hint="default"/>
      </w:rPr>
    </w:lvl>
  </w:abstractNum>
  <w:abstractNum w:abstractNumId="8" w15:restartNumberingAfterBreak="0">
    <w:nsid w:val="279B1E46"/>
    <w:multiLevelType w:val="multilevel"/>
    <w:tmpl w:val="81CAC536"/>
    <w:styleLink w:val="CCEopsomming"/>
    <w:lvl w:ilvl="0">
      <w:start w:val="1"/>
      <w:numFmt w:val="bullet"/>
      <w:pStyle w:val="CCEopsomming1"/>
      <w:lvlText w:val=""/>
      <w:lvlJc w:val="left"/>
      <w:pPr>
        <w:ind w:left="227" w:hanging="227"/>
      </w:pPr>
      <w:rPr>
        <w:rFonts w:ascii="Wingdings" w:hAnsi="Wingdings" w:cs="Times New Roman" w:hint="default"/>
        <w:color w:val="AEA922" w:themeColor="accent3"/>
      </w:rPr>
    </w:lvl>
    <w:lvl w:ilvl="1">
      <w:start w:val="1"/>
      <w:numFmt w:val="bullet"/>
      <w:lvlText w:val=""/>
      <w:lvlPicBulletId w:val="1"/>
      <w:lvlJc w:val="left"/>
      <w:pPr>
        <w:ind w:left="454" w:hanging="227"/>
      </w:pPr>
      <w:rPr>
        <w:rFonts w:ascii="Symbol" w:hAnsi="Symbol" w:cs="Times New Roman" w:hint="default"/>
        <w:color w:val="auto"/>
        <w:szCs w:val="16"/>
      </w:rPr>
    </w:lvl>
    <w:lvl w:ilvl="2">
      <w:start w:val="1"/>
      <w:numFmt w:val="none"/>
      <w:lvlText w:val=""/>
      <w:lvlJc w:val="left"/>
      <w:pPr>
        <w:ind w:left="454" w:hanging="227"/>
      </w:pPr>
      <w:rPr>
        <w:rFonts w:hint="default"/>
        <w:color w:val="AEA922" w:themeColor="accent3"/>
      </w:rPr>
    </w:lvl>
    <w:lvl w:ilvl="3">
      <w:start w:val="1"/>
      <w:numFmt w:val="none"/>
      <w:lvlText w:val=""/>
      <w:lvlJc w:val="left"/>
      <w:pPr>
        <w:ind w:left="454" w:hanging="227"/>
      </w:pPr>
      <w:rPr>
        <w:rFonts w:hint="default"/>
        <w:color w:val="AEA922" w:themeColor="accent3"/>
      </w:rPr>
    </w:lvl>
    <w:lvl w:ilvl="4">
      <w:start w:val="1"/>
      <w:numFmt w:val="none"/>
      <w:lvlText w:val=""/>
      <w:lvlJc w:val="left"/>
      <w:pPr>
        <w:ind w:left="454" w:hanging="227"/>
      </w:pPr>
      <w:rPr>
        <w:rFonts w:hint="default"/>
      </w:rPr>
    </w:lvl>
    <w:lvl w:ilvl="5">
      <w:start w:val="1"/>
      <w:numFmt w:val="none"/>
      <w:lvlText w:val=""/>
      <w:lvlJc w:val="left"/>
      <w:pPr>
        <w:ind w:left="454" w:hanging="227"/>
      </w:pPr>
      <w:rPr>
        <w:rFonts w:hint="default"/>
      </w:rPr>
    </w:lvl>
    <w:lvl w:ilvl="6">
      <w:start w:val="1"/>
      <w:numFmt w:val="none"/>
      <w:lvlText w:val=""/>
      <w:lvlJc w:val="left"/>
      <w:pPr>
        <w:ind w:left="454" w:hanging="227"/>
      </w:pPr>
      <w:rPr>
        <w:rFonts w:hint="default"/>
      </w:rPr>
    </w:lvl>
    <w:lvl w:ilvl="7">
      <w:start w:val="1"/>
      <w:numFmt w:val="none"/>
      <w:lvlText w:val=""/>
      <w:lvlJc w:val="left"/>
      <w:pPr>
        <w:ind w:left="454" w:hanging="227"/>
      </w:pPr>
      <w:rPr>
        <w:rFonts w:hint="default"/>
      </w:rPr>
    </w:lvl>
    <w:lvl w:ilvl="8">
      <w:start w:val="1"/>
      <w:numFmt w:val="none"/>
      <w:lvlText w:val=""/>
      <w:lvlJc w:val="left"/>
      <w:pPr>
        <w:ind w:left="454" w:hanging="227"/>
      </w:pPr>
      <w:rPr>
        <w:rFonts w:hint="default"/>
      </w:rPr>
    </w:lvl>
  </w:abstractNum>
  <w:abstractNum w:abstractNumId="9" w15:restartNumberingAfterBreak="0">
    <w:nsid w:val="2A35673F"/>
    <w:multiLevelType w:val="multilevel"/>
    <w:tmpl w:val="81CAC536"/>
    <w:numStyleLink w:val="CCEopsomming"/>
  </w:abstractNum>
  <w:abstractNum w:abstractNumId="10" w15:restartNumberingAfterBreak="0">
    <w:nsid w:val="2A664C17"/>
    <w:multiLevelType w:val="multilevel"/>
    <w:tmpl w:val="33B06A8E"/>
    <w:numStyleLink w:val="CCEKopNummering"/>
  </w:abstractNum>
  <w:abstractNum w:abstractNumId="11" w15:restartNumberingAfterBreak="0">
    <w:nsid w:val="3B51578A"/>
    <w:multiLevelType w:val="multilevel"/>
    <w:tmpl w:val="67AA3B72"/>
    <w:numStyleLink w:val="CCEnummering"/>
  </w:abstractNum>
  <w:abstractNum w:abstractNumId="12" w15:restartNumberingAfterBreak="0">
    <w:nsid w:val="43EA2562"/>
    <w:multiLevelType w:val="multilevel"/>
    <w:tmpl w:val="67AA3B72"/>
    <w:numStyleLink w:val="CCEnummering"/>
  </w:abstractNum>
  <w:abstractNum w:abstractNumId="13" w15:restartNumberingAfterBreak="0">
    <w:nsid w:val="456D23C3"/>
    <w:multiLevelType w:val="multilevel"/>
    <w:tmpl w:val="81CAC536"/>
    <w:numStyleLink w:val="CCEopsomming"/>
  </w:abstractNum>
  <w:abstractNum w:abstractNumId="14" w15:restartNumberingAfterBreak="0">
    <w:nsid w:val="46D81A6C"/>
    <w:multiLevelType w:val="multilevel"/>
    <w:tmpl w:val="81CAC536"/>
    <w:numStyleLink w:val="CCEopsomming"/>
  </w:abstractNum>
  <w:abstractNum w:abstractNumId="15" w15:restartNumberingAfterBreak="0">
    <w:nsid w:val="4A530D33"/>
    <w:multiLevelType w:val="multilevel"/>
    <w:tmpl w:val="81CAC536"/>
    <w:numStyleLink w:val="CCEopsomming"/>
  </w:abstractNum>
  <w:abstractNum w:abstractNumId="16" w15:restartNumberingAfterBreak="0">
    <w:nsid w:val="5C0E4CC8"/>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0305148"/>
    <w:multiLevelType w:val="multilevel"/>
    <w:tmpl w:val="67AA3B72"/>
    <w:numStyleLink w:val="CCEnummering"/>
  </w:abstractNum>
  <w:abstractNum w:abstractNumId="18" w15:restartNumberingAfterBreak="0">
    <w:nsid w:val="723A71D9"/>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1803158">
    <w:abstractNumId w:val="6"/>
  </w:num>
  <w:num w:numId="2" w16cid:durableId="334962853">
    <w:abstractNumId w:val="6"/>
  </w:num>
  <w:num w:numId="3" w16cid:durableId="1598057676">
    <w:abstractNumId w:val="8"/>
  </w:num>
  <w:num w:numId="4" w16cid:durableId="1934701968">
    <w:abstractNumId w:val="5"/>
  </w:num>
  <w:num w:numId="5" w16cid:durableId="1898584429">
    <w:abstractNumId w:val="15"/>
  </w:num>
  <w:num w:numId="6" w16cid:durableId="1190483589">
    <w:abstractNumId w:val="9"/>
  </w:num>
  <w:num w:numId="7" w16cid:durableId="11734632">
    <w:abstractNumId w:val="13"/>
  </w:num>
  <w:num w:numId="8" w16cid:durableId="1896356508">
    <w:abstractNumId w:val="18"/>
  </w:num>
  <w:num w:numId="9" w16cid:durableId="41486638">
    <w:abstractNumId w:val="7"/>
  </w:num>
  <w:num w:numId="10" w16cid:durableId="1356731251">
    <w:abstractNumId w:val="2"/>
  </w:num>
  <w:num w:numId="11" w16cid:durableId="15927991">
    <w:abstractNumId w:val="12"/>
  </w:num>
  <w:num w:numId="12" w16cid:durableId="1900704827">
    <w:abstractNumId w:val="1"/>
  </w:num>
  <w:num w:numId="13" w16cid:durableId="348215984">
    <w:abstractNumId w:val="16"/>
  </w:num>
  <w:num w:numId="14" w16cid:durableId="1677537270">
    <w:abstractNumId w:val="4"/>
  </w:num>
  <w:num w:numId="15" w16cid:durableId="1489800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8279182">
    <w:abstractNumId w:val="10"/>
  </w:num>
  <w:num w:numId="17" w16cid:durableId="69157615">
    <w:abstractNumId w:val="0"/>
  </w:num>
  <w:num w:numId="18" w16cid:durableId="462041370">
    <w:abstractNumId w:val="3"/>
  </w:num>
  <w:num w:numId="19" w16cid:durableId="736250524">
    <w:abstractNumId w:val="11"/>
  </w:num>
  <w:num w:numId="20" w16cid:durableId="811140143">
    <w:abstractNumId w:val="17"/>
  </w:num>
  <w:num w:numId="21" w16cid:durableId="20163734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ttachedTemplate r:id="rId1"/>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E37F2"/>
    <w:rsid w:val="00010902"/>
    <w:rsid w:val="0001338A"/>
    <w:rsid w:val="000151D7"/>
    <w:rsid w:val="00036C68"/>
    <w:rsid w:val="00065E22"/>
    <w:rsid w:val="00077FE4"/>
    <w:rsid w:val="000A1E79"/>
    <w:rsid w:val="000D1FEA"/>
    <w:rsid w:val="000D7339"/>
    <w:rsid w:val="000F65AB"/>
    <w:rsid w:val="00101F1D"/>
    <w:rsid w:val="00104DC2"/>
    <w:rsid w:val="00106D7E"/>
    <w:rsid w:val="00135FB8"/>
    <w:rsid w:val="00143B95"/>
    <w:rsid w:val="00143F85"/>
    <w:rsid w:val="00192983"/>
    <w:rsid w:val="001D77F2"/>
    <w:rsid w:val="00214CFF"/>
    <w:rsid w:val="00220BC1"/>
    <w:rsid w:val="00234CA9"/>
    <w:rsid w:val="00251D7B"/>
    <w:rsid w:val="00257DA8"/>
    <w:rsid w:val="00284C0E"/>
    <w:rsid w:val="002C00A0"/>
    <w:rsid w:val="002C592E"/>
    <w:rsid w:val="002D5322"/>
    <w:rsid w:val="002F1A1A"/>
    <w:rsid w:val="002F2E76"/>
    <w:rsid w:val="002F3CA0"/>
    <w:rsid w:val="002F473E"/>
    <w:rsid w:val="002F710F"/>
    <w:rsid w:val="003B4CD3"/>
    <w:rsid w:val="003D53DF"/>
    <w:rsid w:val="003F25AF"/>
    <w:rsid w:val="00435A99"/>
    <w:rsid w:val="00477387"/>
    <w:rsid w:val="0048619C"/>
    <w:rsid w:val="004A78BE"/>
    <w:rsid w:val="004B2CE7"/>
    <w:rsid w:val="004F6192"/>
    <w:rsid w:val="005073C5"/>
    <w:rsid w:val="00513E6C"/>
    <w:rsid w:val="00514A1C"/>
    <w:rsid w:val="00543866"/>
    <w:rsid w:val="00556485"/>
    <w:rsid w:val="005608FA"/>
    <w:rsid w:val="005610C5"/>
    <w:rsid w:val="00566D3F"/>
    <w:rsid w:val="00574E2D"/>
    <w:rsid w:val="0058026A"/>
    <w:rsid w:val="005A07C1"/>
    <w:rsid w:val="005C26B1"/>
    <w:rsid w:val="005D4AD2"/>
    <w:rsid w:val="005F7664"/>
    <w:rsid w:val="005F7F3E"/>
    <w:rsid w:val="0064138E"/>
    <w:rsid w:val="006449E5"/>
    <w:rsid w:val="006469F7"/>
    <w:rsid w:val="00663C40"/>
    <w:rsid w:val="00680381"/>
    <w:rsid w:val="006975F5"/>
    <w:rsid w:val="006B5AEA"/>
    <w:rsid w:val="00705F96"/>
    <w:rsid w:val="00706583"/>
    <w:rsid w:val="00721EA5"/>
    <w:rsid w:val="00730471"/>
    <w:rsid w:val="00730689"/>
    <w:rsid w:val="00742ABF"/>
    <w:rsid w:val="00763E76"/>
    <w:rsid w:val="00767FB4"/>
    <w:rsid w:val="00790A9E"/>
    <w:rsid w:val="007945C5"/>
    <w:rsid w:val="00794C68"/>
    <w:rsid w:val="007C5290"/>
    <w:rsid w:val="007C71D7"/>
    <w:rsid w:val="0080032E"/>
    <w:rsid w:val="0080575B"/>
    <w:rsid w:val="00806B61"/>
    <w:rsid w:val="00827ED2"/>
    <w:rsid w:val="008464E3"/>
    <w:rsid w:val="0086306C"/>
    <w:rsid w:val="008802B5"/>
    <w:rsid w:val="008A30C7"/>
    <w:rsid w:val="008B1430"/>
    <w:rsid w:val="008B6493"/>
    <w:rsid w:val="008C3223"/>
    <w:rsid w:val="00903ED0"/>
    <w:rsid w:val="00913017"/>
    <w:rsid w:val="00916332"/>
    <w:rsid w:val="0092564B"/>
    <w:rsid w:val="00947002"/>
    <w:rsid w:val="00963B35"/>
    <w:rsid w:val="00971F55"/>
    <w:rsid w:val="00985C03"/>
    <w:rsid w:val="009915E7"/>
    <w:rsid w:val="009B1E1D"/>
    <w:rsid w:val="009E639A"/>
    <w:rsid w:val="009F282B"/>
    <w:rsid w:val="00A04158"/>
    <w:rsid w:val="00A16939"/>
    <w:rsid w:val="00A34BDB"/>
    <w:rsid w:val="00A674BE"/>
    <w:rsid w:val="00A74515"/>
    <w:rsid w:val="00A75579"/>
    <w:rsid w:val="00A8492D"/>
    <w:rsid w:val="00AF3EE2"/>
    <w:rsid w:val="00B00A73"/>
    <w:rsid w:val="00B460DA"/>
    <w:rsid w:val="00B4770C"/>
    <w:rsid w:val="00B52991"/>
    <w:rsid w:val="00B5513C"/>
    <w:rsid w:val="00B84CAA"/>
    <w:rsid w:val="00BA093B"/>
    <w:rsid w:val="00BF09BD"/>
    <w:rsid w:val="00C02CF5"/>
    <w:rsid w:val="00C05EE6"/>
    <w:rsid w:val="00C14995"/>
    <w:rsid w:val="00C36CA1"/>
    <w:rsid w:val="00C54810"/>
    <w:rsid w:val="00C7159E"/>
    <w:rsid w:val="00C77690"/>
    <w:rsid w:val="00C7787D"/>
    <w:rsid w:val="00CE4149"/>
    <w:rsid w:val="00CF2CED"/>
    <w:rsid w:val="00CF537F"/>
    <w:rsid w:val="00D0090F"/>
    <w:rsid w:val="00D50BA6"/>
    <w:rsid w:val="00D53F84"/>
    <w:rsid w:val="00D671F3"/>
    <w:rsid w:val="00D9113C"/>
    <w:rsid w:val="00D9298B"/>
    <w:rsid w:val="00D959BD"/>
    <w:rsid w:val="00DC75C3"/>
    <w:rsid w:val="00DD0453"/>
    <w:rsid w:val="00DE635E"/>
    <w:rsid w:val="00E77A8B"/>
    <w:rsid w:val="00E803DF"/>
    <w:rsid w:val="00E94989"/>
    <w:rsid w:val="00E963E8"/>
    <w:rsid w:val="00E96E70"/>
    <w:rsid w:val="00EA252F"/>
    <w:rsid w:val="00EB73DB"/>
    <w:rsid w:val="00ED056A"/>
    <w:rsid w:val="00EE5221"/>
    <w:rsid w:val="00F17DD0"/>
    <w:rsid w:val="00F40BBD"/>
    <w:rsid w:val="00F56FA6"/>
    <w:rsid w:val="00FC4D36"/>
    <w:rsid w:val="00FC5552"/>
    <w:rsid w:val="00FD1FD7"/>
    <w:rsid w:val="00FD257C"/>
    <w:rsid w:val="00FD4FEA"/>
    <w:rsid w:val="00FD5287"/>
    <w:rsid w:val="00FD6B8F"/>
    <w:rsid w:val="00FE1F00"/>
    <w:rsid w:val="00FE37F2"/>
    <w:rsid w:val="00FF5AA9"/>
    <w:rsid w:val="00FF774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EBB66"/>
  <w15:docId w15:val="{C812F36A-39D3-405F-ACE6-8F97B1DE7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3B95"/>
    <w:pPr>
      <w:spacing w:after="0" w:line="300" w:lineRule="atLeast"/>
    </w:pPr>
    <w:rPr>
      <w:sz w:val="20"/>
    </w:rPr>
  </w:style>
  <w:style w:type="paragraph" w:styleId="Kop1">
    <w:name w:val="heading 1"/>
    <w:basedOn w:val="Standaard"/>
    <w:next w:val="Standaard"/>
    <w:link w:val="Kop1Char"/>
    <w:uiPriority w:val="9"/>
    <w:qFormat/>
    <w:rsid w:val="00FD5287"/>
    <w:pPr>
      <w:keepNext/>
      <w:keepLines/>
      <w:numPr>
        <w:numId w:val="18"/>
      </w:numPr>
      <w:spacing w:line="300" w:lineRule="exact"/>
      <w:outlineLvl w:val="0"/>
    </w:pPr>
    <w:rPr>
      <w:rFonts w:asciiTheme="majorHAnsi" w:eastAsiaTheme="majorEastAsia" w:hAnsiTheme="majorHAnsi" w:cstheme="majorBidi"/>
      <w:bCs/>
      <w:color w:val="ED7D2C" w:themeColor="accent2"/>
      <w:sz w:val="32"/>
      <w:szCs w:val="28"/>
    </w:rPr>
  </w:style>
  <w:style w:type="paragraph" w:styleId="Kop2">
    <w:name w:val="heading 2"/>
    <w:basedOn w:val="Standaard"/>
    <w:next w:val="Standaard"/>
    <w:link w:val="Kop2Char"/>
    <w:uiPriority w:val="9"/>
    <w:unhideWhenUsed/>
    <w:qFormat/>
    <w:rsid w:val="00FD5287"/>
    <w:pPr>
      <w:keepNext/>
      <w:keepLines/>
      <w:numPr>
        <w:ilvl w:val="1"/>
        <w:numId w:val="18"/>
      </w:numPr>
      <w:outlineLvl w:val="1"/>
    </w:pPr>
    <w:rPr>
      <w:rFonts w:asciiTheme="majorHAnsi" w:eastAsiaTheme="majorEastAsia" w:hAnsiTheme="majorHAnsi" w:cstheme="majorBidi"/>
      <w:b/>
      <w:bCs/>
      <w:sz w:val="22"/>
      <w:szCs w:val="26"/>
    </w:rPr>
  </w:style>
  <w:style w:type="paragraph" w:styleId="Kop3">
    <w:name w:val="heading 3"/>
    <w:basedOn w:val="Standaard"/>
    <w:next w:val="Standaard"/>
    <w:link w:val="Kop3Char"/>
    <w:uiPriority w:val="9"/>
    <w:unhideWhenUsed/>
    <w:qFormat/>
    <w:rsid w:val="00FD5287"/>
    <w:pPr>
      <w:keepNext/>
      <w:keepLines/>
      <w:numPr>
        <w:ilvl w:val="2"/>
        <w:numId w:val="18"/>
      </w:numPr>
      <w:outlineLvl w:val="2"/>
    </w:pPr>
    <w:rPr>
      <w:rFonts w:asciiTheme="majorHAnsi" w:eastAsiaTheme="majorEastAsia" w:hAnsiTheme="majorHAnsi" w:cstheme="majorBidi"/>
      <w:b/>
      <w:bCs/>
      <w:color w:val="ED7D2C" w:themeColor="accen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B73DB"/>
    <w:pPr>
      <w:tabs>
        <w:tab w:val="center" w:pos="4536"/>
        <w:tab w:val="right" w:pos="9072"/>
      </w:tabs>
      <w:jc w:val="right"/>
    </w:pPr>
    <w:rPr>
      <w:i/>
      <w:color w:val="9B907D" w:themeColor="text2"/>
    </w:rPr>
  </w:style>
  <w:style w:type="character" w:customStyle="1" w:styleId="KoptekstChar">
    <w:name w:val="Koptekst Char"/>
    <w:basedOn w:val="Standaardalinea-lettertype"/>
    <w:link w:val="Koptekst"/>
    <w:uiPriority w:val="99"/>
    <w:rsid w:val="00EB73DB"/>
    <w:rPr>
      <w:i/>
      <w:color w:val="9B907D" w:themeColor="text2"/>
      <w:sz w:val="20"/>
    </w:rPr>
  </w:style>
  <w:style w:type="paragraph" w:styleId="Voettekst">
    <w:name w:val="footer"/>
    <w:basedOn w:val="Standaard"/>
    <w:link w:val="VoettekstChar"/>
    <w:uiPriority w:val="99"/>
    <w:unhideWhenUsed/>
    <w:rsid w:val="0080032E"/>
    <w:pPr>
      <w:tabs>
        <w:tab w:val="center" w:pos="4536"/>
        <w:tab w:val="right" w:pos="9072"/>
      </w:tabs>
      <w:spacing w:line="280" w:lineRule="atLeast"/>
    </w:pPr>
    <w:rPr>
      <w:i/>
      <w:color w:val="9B907D" w:themeColor="accent1"/>
      <w:sz w:val="16"/>
    </w:rPr>
  </w:style>
  <w:style w:type="character" w:customStyle="1" w:styleId="VoettekstChar">
    <w:name w:val="Voettekst Char"/>
    <w:basedOn w:val="Standaardalinea-lettertype"/>
    <w:link w:val="Voettekst"/>
    <w:uiPriority w:val="99"/>
    <w:rsid w:val="0080032E"/>
    <w:rPr>
      <w:i/>
      <w:color w:val="9B907D" w:themeColor="accent1"/>
      <w:sz w:val="16"/>
    </w:rPr>
  </w:style>
  <w:style w:type="paragraph" w:styleId="Voetnoottekst">
    <w:name w:val="footnote text"/>
    <w:basedOn w:val="Standaard"/>
    <w:link w:val="VoetnoottekstChar"/>
    <w:uiPriority w:val="99"/>
    <w:rsid w:val="006B5AEA"/>
    <w:pPr>
      <w:spacing w:line="280" w:lineRule="atLeast"/>
    </w:pPr>
    <w:rPr>
      <w:i/>
      <w:color w:val="9B907D" w:themeColor="text2"/>
      <w:sz w:val="16"/>
      <w:szCs w:val="20"/>
    </w:rPr>
  </w:style>
  <w:style w:type="character" w:customStyle="1" w:styleId="VoetnoottekstChar">
    <w:name w:val="Voetnoottekst Char"/>
    <w:basedOn w:val="Standaardalinea-lettertype"/>
    <w:link w:val="Voetnoottekst"/>
    <w:uiPriority w:val="99"/>
    <w:rsid w:val="006B5AEA"/>
    <w:rPr>
      <w:i/>
      <w:color w:val="9B907D" w:themeColor="text2"/>
      <w:sz w:val="16"/>
      <w:szCs w:val="20"/>
    </w:rPr>
  </w:style>
  <w:style w:type="numbering" w:customStyle="1" w:styleId="CCEopsomming">
    <w:name w:val="CCE opsomming"/>
    <w:uiPriority w:val="99"/>
    <w:rsid w:val="00B4770C"/>
    <w:pPr>
      <w:numPr>
        <w:numId w:val="3"/>
      </w:numPr>
    </w:pPr>
  </w:style>
  <w:style w:type="paragraph" w:styleId="Lijstalinea">
    <w:name w:val="List Paragraph"/>
    <w:basedOn w:val="Standaard"/>
    <w:uiPriority w:val="34"/>
    <w:rsid w:val="00730471"/>
    <w:pPr>
      <w:contextualSpacing/>
    </w:pPr>
  </w:style>
  <w:style w:type="paragraph" w:customStyle="1" w:styleId="CCEopsomming1">
    <w:name w:val="CCE opsomming1"/>
    <w:basedOn w:val="Standaard"/>
    <w:qFormat/>
    <w:rsid w:val="00B4770C"/>
    <w:pPr>
      <w:numPr>
        <w:numId w:val="3"/>
      </w:numPr>
    </w:pPr>
  </w:style>
  <w:style w:type="paragraph" w:customStyle="1" w:styleId="CCEnummering1">
    <w:name w:val="CCE nummering1"/>
    <w:basedOn w:val="Standaard"/>
    <w:qFormat/>
    <w:rsid w:val="00477387"/>
    <w:pPr>
      <w:numPr>
        <w:numId w:val="10"/>
      </w:numPr>
    </w:pPr>
  </w:style>
  <w:style w:type="numbering" w:customStyle="1" w:styleId="CCEnummering">
    <w:name w:val="CCE nummering"/>
    <w:uiPriority w:val="99"/>
    <w:rsid w:val="00477387"/>
    <w:pPr>
      <w:numPr>
        <w:numId w:val="9"/>
      </w:numPr>
    </w:pPr>
  </w:style>
  <w:style w:type="paragraph" w:customStyle="1" w:styleId="Kop1ongenummerd">
    <w:name w:val="Kop 1 ongenummerd"/>
    <w:basedOn w:val="Standaard"/>
    <w:next w:val="Standaard"/>
    <w:uiPriority w:val="10"/>
    <w:qFormat/>
    <w:rsid w:val="00E96E70"/>
    <w:pPr>
      <w:spacing w:line="300" w:lineRule="exact"/>
    </w:pPr>
    <w:rPr>
      <w:color w:val="ED7D2C" w:themeColor="accent2"/>
      <w:sz w:val="32"/>
    </w:rPr>
  </w:style>
  <w:style w:type="paragraph" w:customStyle="1" w:styleId="Kop2ongenummerd">
    <w:name w:val="Kop 2 ongenummerd"/>
    <w:basedOn w:val="Standaard"/>
    <w:next w:val="Standaard"/>
    <w:uiPriority w:val="10"/>
    <w:qFormat/>
    <w:rsid w:val="00E96E70"/>
    <w:rPr>
      <w:b/>
      <w:sz w:val="22"/>
    </w:rPr>
  </w:style>
  <w:style w:type="paragraph" w:customStyle="1" w:styleId="Kop3ongenummerd">
    <w:name w:val="Kop 3 ongenummerd"/>
    <w:basedOn w:val="Standaard"/>
    <w:next w:val="Standaard"/>
    <w:uiPriority w:val="10"/>
    <w:qFormat/>
    <w:rsid w:val="00E96E70"/>
    <w:rPr>
      <w:b/>
      <w:color w:val="ED7D2C" w:themeColor="accent2"/>
    </w:rPr>
  </w:style>
  <w:style w:type="character" w:customStyle="1" w:styleId="Kop1Char">
    <w:name w:val="Kop 1 Char"/>
    <w:basedOn w:val="Standaardalinea-lettertype"/>
    <w:link w:val="Kop1"/>
    <w:uiPriority w:val="9"/>
    <w:rsid w:val="00FD5287"/>
    <w:rPr>
      <w:rFonts w:asciiTheme="majorHAnsi" w:eastAsiaTheme="majorEastAsia" w:hAnsiTheme="majorHAnsi" w:cstheme="majorBidi"/>
      <w:bCs/>
      <w:color w:val="ED7D2C" w:themeColor="accent2"/>
      <w:sz w:val="32"/>
      <w:szCs w:val="28"/>
    </w:rPr>
  </w:style>
  <w:style w:type="character" w:customStyle="1" w:styleId="Kop2Char">
    <w:name w:val="Kop 2 Char"/>
    <w:basedOn w:val="Standaardalinea-lettertype"/>
    <w:link w:val="Kop2"/>
    <w:uiPriority w:val="9"/>
    <w:rsid w:val="00FD5287"/>
    <w:rPr>
      <w:rFonts w:asciiTheme="majorHAnsi" w:eastAsiaTheme="majorEastAsia" w:hAnsiTheme="majorHAnsi" w:cstheme="majorBidi"/>
      <w:b/>
      <w:bCs/>
      <w:szCs w:val="26"/>
    </w:rPr>
  </w:style>
  <w:style w:type="character" w:customStyle="1" w:styleId="Kop3Char">
    <w:name w:val="Kop 3 Char"/>
    <w:basedOn w:val="Standaardalinea-lettertype"/>
    <w:link w:val="Kop3"/>
    <w:uiPriority w:val="9"/>
    <w:rsid w:val="00FD5287"/>
    <w:rPr>
      <w:rFonts w:asciiTheme="majorHAnsi" w:eastAsiaTheme="majorEastAsia" w:hAnsiTheme="majorHAnsi" w:cstheme="majorBidi"/>
      <w:b/>
      <w:bCs/>
      <w:color w:val="ED7D2C" w:themeColor="accent2"/>
      <w:sz w:val="20"/>
    </w:rPr>
  </w:style>
  <w:style w:type="numbering" w:customStyle="1" w:styleId="CCEKopNummering">
    <w:name w:val="CCE KopNummering"/>
    <w:uiPriority w:val="99"/>
    <w:rsid w:val="00FD5287"/>
    <w:pPr>
      <w:numPr>
        <w:numId w:val="14"/>
      </w:numPr>
    </w:pPr>
  </w:style>
  <w:style w:type="table" w:styleId="Tabelraster">
    <w:name w:val="Table Grid"/>
    <w:basedOn w:val="Standaardtabel"/>
    <w:uiPriority w:val="59"/>
    <w:rsid w:val="00135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CEtabel">
    <w:name w:val="CCE tabel"/>
    <w:basedOn w:val="Standaardtabel"/>
    <w:uiPriority w:val="99"/>
    <w:rsid w:val="00135FB8"/>
    <w:pPr>
      <w:spacing w:after="0" w:line="240" w:lineRule="auto"/>
    </w:pPr>
    <w:tblPr>
      <w:tblBorders>
        <w:top w:val="single" w:sz="4" w:space="0" w:color="AEA922" w:themeColor="accent3"/>
        <w:bottom w:val="single" w:sz="4" w:space="0" w:color="AEA922" w:themeColor="accent3"/>
        <w:insideH w:val="single" w:sz="4" w:space="0" w:color="AEA922" w:themeColor="accent3"/>
      </w:tblBorders>
    </w:tblPr>
    <w:tblStylePr w:type="firstRow">
      <w:rPr>
        <w:b/>
      </w:rPr>
    </w:tblStylePr>
  </w:style>
  <w:style w:type="paragraph" w:customStyle="1" w:styleId="Kopbrief">
    <w:name w:val="Kop brief"/>
    <w:basedOn w:val="Standaard"/>
    <w:next w:val="Standaard"/>
    <w:uiPriority w:val="10"/>
    <w:qFormat/>
    <w:rsid w:val="00135FB8"/>
    <w:rPr>
      <w:b/>
      <w:color w:val="ED7D2C" w:themeColor="accent2"/>
    </w:rPr>
  </w:style>
  <w:style w:type="character" w:styleId="Voetnootmarkering">
    <w:name w:val="footnote reference"/>
    <w:basedOn w:val="Standaardalinea-lettertype"/>
    <w:uiPriority w:val="99"/>
    <w:semiHidden/>
    <w:unhideWhenUsed/>
    <w:rsid w:val="00A674BE"/>
    <w:rPr>
      <w:vertAlign w:val="superscript"/>
    </w:rPr>
  </w:style>
  <w:style w:type="paragraph" w:styleId="Titel">
    <w:name w:val="Title"/>
    <w:basedOn w:val="Standaard"/>
    <w:next w:val="Standaard"/>
    <w:link w:val="TitelChar"/>
    <w:uiPriority w:val="10"/>
    <w:qFormat/>
    <w:rsid w:val="007945C5"/>
    <w:pPr>
      <w:spacing w:line="480" w:lineRule="exact"/>
      <w:contextualSpacing/>
    </w:pPr>
    <w:rPr>
      <w:rFonts w:asciiTheme="majorHAnsi" w:eastAsiaTheme="majorEastAsia" w:hAnsiTheme="majorHAnsi" w:cstheme="majorBidi"/>
      <w:color w:val="ED7D2C" w:themeColor="accent2"/>
      <w:spacing w:val="5"/>
      <w:kern w:val="28"/>
      <w:sz w:val="40"/>
      <w:szCs w:val="52"/>
    </w:rPr>
  </w:style>
  <w:style w:type="character" w:customStyle="1" w:styleId="TitelChar">
    <w:name w:val="Titel Char"/>
    <w:basedOn w:val="Standaardalinea-lettertype"/>
    <w:link w:val="Titel"/>
    <w:uiPriority w:val="10"/>
    <w:rsid w:val="007945C5"/>
    <w:rPr>
      <w:rFonts w:asciiTheme="majorHAnsi" w:eastAsiaTheme="majorEastAsia" w:hAnsiTheme="majorHAnsi" w:cstheme="majorBidi"/>
      <w:color w:val="ED7D2C" w:themeColor="accent2"/>
      <w:spacing w:val="5"/>
      <w:kern w:val="28"/>
      <w:sz w:val="40"/>
      <w:szCs w:val="52"/>
    </w:rPr>
  </w:style>
  <w:style w:type="paragraph" w:styleId="Ondertitel">
    <w:name w:val="Subtitle"/>
    <w:basedOn w:val="Titel"/>
    <w:next w:val="Standaard"/>
    <w:link w:val="OndertitelChar"/>
    <w:uiPriority w:val="11"/>
    <w:qFormat/>
    <w:rsid w:val="002D5322"/>
    <w:pPr>
      <w:numPr>
        <w:ilvl w:val="1"/>
      </w:numPr>
    </w:pPr>
    <w:rPr>
      <w:iCs/>
      <w:color w:val="9B907D" w:themeColor="text2"/>
      <w:spacing w:val="0"/>
      <w:kern w:val="0"/>
      <w:sz w:val="28"/>
      <w:szCs w:val="24"/>
    </w:rPr>
  </w:style>
  <w:style w:type="character" w:customStyle="1" w:styleId="OndertitelChar">
    <w:name w:val="Ondertitel Char"/>
    <w:basedOn w:val="Standaardalinea-lettertype"/>
    <w:link w:val="Ondertitel"/>
    <w:uiPriority w:val="11"/>
    <w:rsid w:val="002D5322"/>
    <w:rPr>
      <w:rFonts w:asciiTheme="majorHAnsi" w:eastAsiaTheme="majorEastAsia" w:hAnsiTheme="majorHAnsi" w:cstheme="majorBidi"/>
      <w:iCs/>
      <w:color w:val="9B907D" w:themeColor="text2"/>
      <w:sz w:val="28"/>
      <w:szCs w:val="24"/>
    </w:rPr>
  </w:style>
  <w:style w:type="paragraph" w:customStyle="1" w:styleId="TitelProjectplan">
    <w:name w:val="TitelProjectplan"/>
    <w:basedOn w:val="Titel"/>
    <w:rsid w:val="007945C5"/>
    <w:rPr>
      <w:color w:val="AEA922" w:themeColor="accent3"/>
    </w:rPr>
  </w:style>
  <w:style w:type="paragraph" w:customStyle="1" w:styleId="grijs">
    <w:name w:val="grijs"/>
    <w:basedOn w:val="Standaard"/>
    <w:link w:val="grijsChar"/>
    <w:uiPriority w:val="1"/>
    <w:qFormat/>
    <w:rsid w:val="00556485"/>
    <w:rPr>
      <w:color w:val="9B907D" w:themeColor="text2"/>
    </w:rPr>
  </w:style>
  <w:style w:type="paragraph" w:customStyle="1" w:styleId="oranje">
    <w:name w:val="oranje"/>
    <w:basedOn w:val="Standaard"/>
    <w:link w:val="oranjeChar"/>
    <w:uiPriority w:val="1"/>
    <w:qFormat/>
    <w:rsid w:val="00556485"/>
    <w:rPr>
      <w:color w:val="ED7D2C" w:themeColor="accent2"/>
    </w:rPr>
  </w:style>
  <w:style w:type="paragraph" w:customStyle="1" w:styleId="groen">
    <w:name w:val="groen"/>
    <w:basedOn w:val="Standaard"/>
    <w:link w:val="groenChar"/>
    <w:uiPriority w:val="1"/>
    <w:qFormat/>
    <w:rsid w:val="00556485"/>
    <w:rPr>
      <w:color w:val="AEA922" w:themeColor="accent3"/>
    </w:rPr>
  </w:style>
  <w:style w:type="character" w:customStyle="1" w:styleId="grijsChar">
    <w:name w:val="grijs Char"/>
    <w:basedOn w:val="Standaardalinea-lettertype"/>
    <w:link w:val="grijs"/>
    <w:uiPriority w:val="1"/>
    <w:rsid w:val="005610C5"/>
    <w:rPr>
      <w:color w:val="9B907D" w:themeColor="text2"/>
      <w:sz w:val="20"/>
    </w:rPr>
  </w:style>
  <w:style w:type="character" w:customStyle="1" w:styleId="groenChar">
    <w:name w:val="groen Char"/>
    <w:basedOn w:val="Standaardalinea-lettertype"/>
    <w:link w:val="groen"/>
    <w:uiPriority w:val="1"/>
    <w:rsid w:val="005610C5"/>
    <w:rPr>
      <w:color w:val="AEA922" w:themeColor="accent3"/>
      <w:sz w:val="20"/>
    </w:rPr>
  </w:style>
  <w:style w:type="character" w:customStyle="1" w:styleId="oranjeChar">
    <w:name w:val="oranje Char"/>
    <w:basedOn w:val="Standaardalinea-lettertype"/>
    <w:link w:val="oranje"/>
    <w:uiPriority w:val="1"/>
    <w:rsid w:val="005610C5"/>
    <w:rPr>
      <w:color w:val="ED7D2C" w:themeColor="accent2"/>
      <w:sz w:val="20"/>
    </w:rPr>
  </w:style>
  <w:style w:type="paragraph" w:customStyle="1" w:styleId="subscript">
    <w:name w:val="subscript"/>
    <w:basedOn w:val="Standaard"/>
    <w:next w:val="Standaard"/>
    <w:link w:val="subscriptChar"/>
    <w:uiPriority w:val="2"/>
    <w:qFormat/>
    <w:rsid w:val="005610C5"/>
    <w:rPr>
      <w:vertAlign w:val="subscript"/>
    </w:rPr>
  </w:style>
  <w:style w:type="paragraph" w:customStyle="1" w:styleId="superscript">
    <w:name w:val="superscript"/>
    <w:basedOn w:val="subscript"/>
    <w:next w:val="Standaard"/>
    <w:link w:val="superscriptChar"/>
    <w:uiPriority w:val="2"/>
    <w:qFormat/>
    <w:rsid w:val="005610C5"/>
    <w:rPr>
      <w:vertAlign w:val="superscript"/>
    </w:rPr>
  </w:style>
  <w:style w:type="character" w:customStyle="1" w:styleId="subscriptChar">
    <w:name w:val="subscript Char"/>
    <w:basedOn w:val="Standaardalinea-lettertype"/>
    <w:link w:val="subscript"/>
    <w:uiPriority w:val="2"/>
    <w:rsid w:val="005610C5"/>
    <w:rPr>
      <w:sz w:val="20"/>
      <w:vertAlign w:val="subscript"/>
    </w:rPr>
  </w:style>
  <w:style w:type="character" w:customStyle="1" w:styleId="superscriptChar">
    <w:name w:val="superscript Char"/>
    <w:basedOn w:val="subscriptChar"/>
    <w:link w:val="superscript"/>
    <w:uiPriority w:val="2"/>
    <w:rsid w:val="005610C5"/>
    <w:rPr>
      <w:sz w:val="20"/>
      <w:vertAlign w:val="superscript"/>
    </w:rPr>
  </w:style>
  <w:style w:type="character" w:styleId="Verwijzingopmerking">
    <w:name w:val="annotation reference"/>
    <w:basedOn w:val="Standaardalinea-lettertype"/>
    <w:uiPriority w:val="99"/>
    <w:semiHidden/>
    <w:unhideWhenUsed/>
    <w:rsid w:val="008B6493"/>
    <w:rPr>
      <w:sz w:val="16"/>
      <w:szCs w:val="16"/>
    </w:rPr>
  </w:style>
  <w:style w:type="paragraph" w:styleId="Tekstopmerking">
    <w:name w:val="annotation text"/>
    <w:basedOn w:val="Standaard"/>
    <w:link w:val="TekstopmerkingChar"/>
    <w:uiPriority w:val="99"/>
    <w:unhideWhenUsed/>
    <w:rsid w:val="008B6493"/>
    <w:pPr>
      <w:spacing w:line="240" w:lineRule="auto"/>
    </w:pPr>
    <w:rPr>
      <w:szCs w:val="20"/>
    </w:rPr>
  </w:style>
  <w:style w:type="character" w:customStyle="1" w:styleId="TekstopmerkingChar">
    <w:name w:val="Tekst opmerking Char"/>
    <w:basedOn w:val="Standaardalinea-lettertype"/>
    <w:link w:val="Tekstopmerking"/>
    <w:uiPriority w:val="99"/>
    <w:rsid w:val="008B6493"/>
    <w:rPr>
      <w:sz w:val="20"/>
      <w:szCs w:val="20"/>
    </w:rPr>
  </w:style>
  <w:style w:type="paragraph" w:styleId="Onderwerpvanopmerking">
    <w:name w:val="annotation subject"/>
    <w:basedOn w:val="Tekstopmerking"/>
    <w:next w:val="Tekstopmerking"/>
    <w:link w:val="OnderwerpvanopmerkingChar"/>
    <w:uiPriority w:val="99"/>
    <w:semiHidden/>
    <w:unhideWhenUsed/>
    <w:rsid w:val="008B6493"/>
    <w:rPr>
      <w:b/>
      <w:bCs/>
    </w:rPr>
  </w:style>
  <w:style w:type="character" w:customStyle="1" w:styleId="OnderwerpvanopmerkingChar">
    <w:name w:val="Onderwerp van opmerking Char"/>
    <w:basedOn w:val="TekstopmerkingChar"/>
    <w:link w:val="Onderwerpvanopmerking"/>
    <w:uiPriority w:val="99"/>
    <w:semiHidden/>
    <w:rsid w:val="008B6493"/>
    <w:rPr>
      <w:b/>
      <w:bCs/>
      <w:sz w:val="20"/>
      <w:szCs w:val="20"/>
    </w:rPr>
  </w:style>
  <w:style w:type="paragraph" w:styleId="Kopvaninhoudsopgave">
    <w:name w:val="TOC Heading"/>
    <w:basedOn w:val="Kop1"/>
    <w:next w:val="Standaard"/>
    <w:uiPriority w:val="39"/>
    <w:unhideWhenUsed/>
    <w:qFormat/>
    <w:rsid w:val="00BF09BD"/>
    <w:pPr>
      <w:numPr>
        <w:numId w:val="0"/>
      </w:numPr>
      <w:spacing w:before="240" w:line="259" w:lineRule="auto"/>
      <w:outlineLvl w:val="9"/>
    </w:pPr>
    <w:rPr>
      <w:bCs w:val="0"/>
      <w:color w:val="766C5B" w:themeColor="accent1" w:themeShade="BF"/>
      <w:szCs w:val="32"/>
      <w:lang w:eastAsia="nl-NL"/>
    </w:rPr>
  </w:style>
  <w:style w:type="paragraph" w:styleId="Inhopg1">
    <w:name w:val="toc 1"/>
    <w:basedOn w:val="Standaard"/>
    <w:next w:val="Standaard"/>
    <w:autoRedefine/>
    <w:uiPriority w:val="39"/>
    <w:unhideWhenUsed/>
    <w:rsid w:val="00BF09BD"/>
    <w:pPr>
      <w:spacing w:after="100"/>
    </w:pPr>
  </w:style>
  <w:style w:type="character" w:styleId="Hyperlink">
    <w:name w:val="Hyperlink"/>
    <w:basedOn w:val="Standaardalinea-lettertype"/>
    <w:uiPriority w:val="99"/>
    <w:unhideWhenUsed/>
    <w:rsid w:val="00BF09BD"/>
    <w:rPr>
      <w:color w:val="0000FF" w:themeColor="hyperlink"/>
      <w:u w:val="single"/>
    </w:rPr>
  </w:style>
  <w:style w:type="paragraph" w:styleId="Revisie">
    <w:name w:val="Revision"/>
    <w:hidden/>
    <w:uiPriority w:val="99"/>
    <w:semiHidden/>
    <w:rsid w:val="008B1430"/>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398463">
      <w:bodyDiv w:val="1"/>
      <w:marLeft w:val="0"/>
      <w:marRight w:val="0"/>
      <w:marTop w:val="0"/>
      <w:marBottom w:val="0"/>
      <w:divBdr>
        <w:top w:val="none" w:sz="0" w:space="0" w:color="auto"/>
        <w:left w:val="none" w:sz="0" w:space="0" w:color="auto"/>
        <w:bottom w:val="none" w:sz="0" w:space="0" w:color="auto"/>
        <w:right w:val="none" w:sz="0" w:space="0" w:color="auto"/>
      </w:divBdr>
    </w:div>
    <w:div w:id="41420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centrumconsultatieexpertise.sharepoint.com/sites/CCE/Templates/CCE-blanco.dotx" TargetMode="External"/></Relationships>
</file>

<file path=word/theme/theme1.xml><?xml version="1.0" encoding="utf-8"?>
<a:theme xmlns:a="http://schemas.openxmlformats.org/drawingml/2006/main" name="Kantoorthema">
  <a:themeElements>
    <a:clrScheme name="CCE">
      <a:dk1>
        <a:sysClr val="windowText" lastClr="000000"/>
      </a:dk1>
      <a:lt1>
        <a:sysClr val="window" lastClr="FFFFFF"/>
      </a:lt1>
      <a:dk2>
        <a:srgbClr val="9B907D"/>
      </a:dk2>
      <a:lt2>
        <a:srgbClr val="FFFFFF"/>
      </a:lt2>
      <a:accent1>
        <a:srgbClr val="9B907D"/>
      </a:accent1>
      <a:accent2>
        <a:srgbClr val="ED7D2C"/>
      </a:accent2>
      <a:accent3>
        <a:srgbClr val="AEA922"/>
      </a:accent3>
      <a:accent4>
        <a:srgbClr val="9B907D"/>
      </a:accent4>
      <a:accent5>
        <a:srgbClr val="ED7D2C"/>
      </a:accent5>
      <a:accent6>
        <a:srgbClr val="AEA922"/>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ct:contentTypeSchema xmlns:ct="http://schemas.microsoft.com/office/2006/metadata/contentType" xmlns:ma="http://schemas.microsoft.com/office/2006/metadata/properties/metaAttributes" ct:_="" ma:_="" ma:contentTypeName="Document" ma:contentTypeID="0x010100A144FDB778190A4C86B398209CF0E630" ma:contentTypeVersion="15" ma:contentTypeDescription="Een nieuw document maken." ma:contentTypeScope="" ma:versionID="f1f2984c5c82b1f006266dadd41efa1d">
  <xsd:schema xmlns:xsd="http://www.w3.org/2001/XMLSchema" xmlns:xs="http://www.w3.org/2001/XMLSchema" xmlns:p="http://schemas.microsoft.com/office/2006/metadata/properties" xmlns:ns2="2746dd38-7901-4f25-b5aa-5e7498a0640c" xmlns:ns3="a5a4916f-dba2-449c-9cff-f98e8323bc40" targetNamespace="http://schemas.microsoft.com/office/2006/metadata/properties" ma:root="true" ma:fieldsID="98e050b2e5600fadec05ff5085e853ab" ns2:_="" ns3:_="">
    <xsd:import namespace="2746dd38-7901-4f25-b5aa-5e7498a0640c"/>
    <xsd:import namespace="a5a4916f-dba2-449c-9cff-f98e8323bc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6dd38-7901-4f25-b5aa-5e7498a064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05aa1982-cc9a-463e-82c3-3f6416a746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a4916f-dba2-449c-9cff-f98e8323bc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d4c22ea-3e07-4986-8e95-cb1b23e7f2cb}" ma:internalName="TaxCatchAll" ma:showField="CatchAllData" ma:web="a5a4916f-dba2-449c-9cff-f98e8323bc4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5a4916f-dba2-449c-9cff-f98e8323bc40" xsi:nil="true"/>
    <lcf76f155ced4ddcb4097134ff3c332f xmlns="2746dd38-7901-4f25-b5aa-5e7498a064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3888A7-449E-4522-AC09-A2F0062D70A2}">
  <ds:schemaRefs>
    <ds:schemaRef ds:uri="http://schemas.openxmlformats.org/officeDocument/2006/bibliography"/>
  </ds:schemaRefs>
</ds:datastoreItem>
</file>

<file path=customXml/itemProps2.xml><?xml version="1.0" encoding="utf-8"?>
<ds:datastoreItem xmlns:ds="http://schemas.openxmlformats.org/officeDocument/2006/customXml" ds:itemID="{8C15A50F-9DA2-4425-8854-F7B609077A36}"/>
</file>

<file path=customXml/itemProps3.xml><?xml version="1.0" encoding="utf-8"?>
<ds:datastoreItem xmlns:ds="http://schemas.openxmlformats.org/officeDocument/2006/customXml" ds:itemID="{B3F5381A-351F-441A-A0AB-60A5C799F6FA}">
  <ds:schemaRefs>
    <ds:schemaRef ds:uri="http://schemas.microsoft.com/sharepoint/v3/contenttype/forms"/>
  </ds:schemaRefs>
</ds:datastoreItem>
</file>

<file path=customXml/itemProps4.xml><?xml version="1.0" encoding="utf-8"?>
<ds:datastoreItem xmlns:ds="http://schemas.openxmlformats.org/officeDocument/2006/customXml" ds:itemID="{FCC366F7-3C8C-453F-82B6-8A41F98BEE25}">
  <ds:schemaRefs>
    <ds:schemaRef ds:uri="http://schemas.microsoft.com/office/2006/metadata/properties"/>
    <ds:schemaRef ds:uri="http://schemas.microsoft.com/office/infopath/2007/PartnerControls"/>
    <ds:schemaRef ds:uri="a5a4916f-dba2-449c-9cff-f98e8323bc40"/>
    <ds:schemaRef ds:uri="2746dd38-7901-4f25-b5aa-5e7498a0640c"/>
  </ds:schemaRefs>
</ds:datastoreItem>
</file>

<file path=docProps/app.xml><?xml version="1.0" encoding="utf-8"?>
<Properties xmlns="http://schemas.openxmlformats.org/officeDocument/2006/extended-properties" xmlns:vt="http://schemas.openxmlformats.org/officeDocument/2006/docPropsVTypes">
  <Template>CCE-blanco</Template>
  <TotalTime>1</TotalTime>
  <Pages>6</Pages>
  <Words>1808</Words>
  <Characters>9949</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Willemijn van der Spek</dc:creator>
  <cp:lastModifiedBy>Willemijn van der Spek</cp:lastModifiedBy>
  <cp:revision>3</cp:revision>
  <dcterms:created xsi:type="dcterms:W3CDTF">2023-12-18T10:21:00Z</dcterms:created>
  <dcterms:modified xsi:type="dcterms:W3CDTF">2024-03-01T12:30:00Z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0x010100A144FDB778190A4C86B398209CF0E630</vt:lpwstr>
  </property>
  <property fmtid="{D5CDD505-2E9C-101B-9397-08002B2CF9AE}" pid="3" name="MediaServiceImageTags">
    <vt:lpwstr/>
  </property>
</Properties>
</file>