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5494" w:rsidRDefault="00A05494" w:rsidP="00A05494">
      <w:pPr>
        <w:pStyle w:val="Default"/>
        <w:rPr>
          <w:sz w:val="23"/>
          <w:szCs w:val="23"/>
        </w:rPr>
      </w:pPr>
      <w:r>
        <w:rPr>
          <w:b/>
          <w:bCs/>
          <w:sz w:val="23"/>
          <w:szCs w:val="23"/>
        </w:rPr>
        <w:t xml:space="preserve">Toezichtvisie en –kader raad van toezicht stichting Mondriaan </w:t>
      </w:r>
    </w:p>
    <w:p w:rsidR="00A05494" w:rsidRDefault="00A05494" w:rsidP="00A05494">
      <w:pPr>
        <w:pStyle w:val="Default"/>
        <w:rPr>
          <w:sz w:val="22"/>
          <w:szCs w:val="22"/>
        </w:rPr>
      </w:pPr>
    </w:p>
    <w:p w:rsidR="00A05494" w:rsidRDefault="00A05494" w:rsidP="00A05494">
      <w:pPr>
        <w:pStyle w:val="Default"/>
        <w:rPr>
          <w:sz w:val="22"/>
          <w:szCs w:val="22"/>
        </w:rPr>
      </w:pPr>
      <w:r>
        <w:rPr>
          <w:sz w:val="22"/>
          <w:szCs w:val="22"/>
        </w:rPr>
        <w:t xml:space="preserve">In de </w:t>
      </w:r>
      <w:proofErr w:type="spellStart"/>
      <w:r>
        <w:rPr>
          <w:sz w:val="22"/>
          <w:szCs w:val="22"/>
        </w:rPr>
        <w:t>Governancecode</w:t>
      </w:r>
      <w:proofErr w:type="spellEnd"/>
      <w:r>
        <w:rPr>
          <w:sz w:val="22"/>
          <w:szCs w:val="22"/>
        </w:rPr>
        <w:t xml:space="preserve"> Zorg </w:t>
      </w:r>
      <w:r>
        <w:rPr>
          <w:sz w:val="22"/>
          <w:szCs w:val="22"/>
        </w:rPr>
        <w:t>wordt gesteld</w:t>
      </w:r>
      <w:r>
        <w:rPr>
          <w:sz w:val="22"/>
          <w:szCs w:val="22"/>
        </w:rPr>
        <w:t xml:space="preserve"> dat goed bestuur en toezicht belangrijke voorwaarden zijn voor goede zorg. Naleving van de </w:t>
      </w:r>
      <w:proofErr w:type="spellStart"/>
      <w:r>
        <w:rPr>
          <w:sz w:val="22"/>
          <w:szCs w:val="22"/>
        </w:rPr>
        <w:t>Governancecode</w:t>
      </w:r>
      <w:proofErr w:type="spellEnd"/>
      <w:r>
        <w:rPr>
          <w:sz w:val="22"/>
          <w:szCs w:val="22"/>
        </w:rPr>
        <w:t xml:space="preserve"> draagt daaraan bij en is dan ook uitgangspunt voor het handelen van de raad van toezicht van Mondriaan. De raad van toezicht ziet erop toe dat ook de raad van bestuur zich aan deze code houdt. </w:t>
      </w:r>
    </w:p>
    <w:p w:rsidR="00A05494" w:rsidRDefault="00A05494" w:rsidP="00A05494">
      <w:pPr>
        <w:pStyle w:val="Default"/>
        <w:rPr>
          <w:sz w:val="22"/>
          <w:szCs w:val="22"/>
        </w:rPr>
      </w:pPr>
      <w:r>
        <w:rPr>
          <w:sz w:val="22"/>
          <w:szCs w:val="22"/>
        </w:rPr>
        <w:t xml:space="preserve">In de </w:t>
      </w:r>
      <w:proofErr w:type="spellStart"/>
      <w:r>
        <w:rPr>
          <w:sz w:val="22"/>
          <w:szCs w:val="22"/>
        </w:rPr>
        <w:t>Governancecode</w:t>
      </w:r>
      <w:proofErr w:type="spellEnd"/>
      <w:r>
        <w:rPr>
          <w:sz w:val="22"/>
          <w:szCs w:val="22"/>
        </w:rPr>
        <w:t xml:space="preserve"> is opgenomen dat de raad van toezicht een visie heeft op de wijze waarop hij het toezicht uitvoert; de toezichtvisie. Ook is daarin bepaald dat de raad van toezicht zich ervan vergewist dat de raad van toezicht en de raad van bestuur op basis van deze toezichtvisie kunnen samenwerken. De raad van toezicht heeft daarnaast in een toezichtkader de rollen en de inrichting van de raad van toezicht vastgelegd. Deze documenten zijn g</w:t>
      </w:r>
      <w:r>
        <w:rPr>
          <w:sz w:val="22"/>
          <w:szCs w:val="22"/>
        </w:rPr>
        <w:t>epubliceerd op www.mondriaan.eu.</w:t>
      </w:r>
    </w:p>
    <w:p w:rsidR="00A05494" w:rsidRDefault="00A05494" w:rsidP="00A05494">
      <w:pPr>
        <w:pStyle w:val="Default"/>
        <w:rPr>
          <w:b/>
          <w:bCs/>
          <w:sz w:val="22"/>
          <w:szCs w:val="22"/>
        </w:rPr>
      </w:pPr>
    </w:p>
    <w:p w:rsidR="00A05494" w:rsidRDefault="00A05494" w:rsidP="00A05494">
      <w:pPr>
        <w:pStyle w:val="Default"/>
        <w:rPr>
          <w:sz w:val="22"/>
          <w:szCs w:val="22"/>
        </w:rPr>
      </w:pPr>
      <w:r>
        <w:rPr>
          <w:b/>
          <w:bCs/>
          <w:sz w:val="22"/>
          <w:szCs w:val="22"/>
        </w:rPr>
        <w:t xml:space="preserve">Toezichtvisie </w:t>
      </w:r>
    </w:p>
    <w:p w:rsidR="00A05494" w:rsidRDefault="00A05494" w:rsidP="00A05494">
      <w:pPr>
        <w:pStyle w:val="Default"/>
        <w:rPr>
          <w:sz w:val="22"/>
          <w:szCs w:val="22"/>
        </w:rPr>
      </w:pPr>
    </w:p>
    <w:p w:rsidR="00A05494" w:rsidRDefault="00A05494" w:rsidP="00A05494">
      <w:pPr>
        <w:pStyle w:val="Default"/>
        <w:rPr>
          <w:sz w:val="22"/>
          <w:szCs w:val="22"/>
        </w:rPr>
      </w:pPr>
      <w:r>
        <w:rPr>
          <w:sz w:val="22"/>
          <w:szCs w:val="22"/>
        </w:rPr>
        <w:t xml:space="preserve">De raad van toezicht ziet erop toe dat Mondriaan haar maatschappelijke doelstelling realiseert en de juiste toekomstbestendige keuzes maakt binnen de gestelde financiële kaders, waarbij de positie van de patiënt centraal staat en alle in aanmerking komende belangen zorgvuldig en evenwichtig zijn afgewogen. </w:t>
      </w:r>
    </w:p>
    <w:p w:rsidR="00A05494" w:rsidRDefault="00A05494" w:rsidP="00A05494">
      <w:pPr>
        <w:pStyle w:val="Default"/>
        <w:rPr>
          <w:sz w:val="22"/>
          <w:szCs w:val="22"/>
        </w:rPr>
      </w:pPr>
      <w:r>
        <w:rPr>
          <w:sz w:val="22"/>
          <w:szCs w:val="22"/>
        </w:rPr>
        <w:t xml:space="preserve">De raad van toezicht is zodanig samengesteld dat de leden ten opzichte van elkaar, de raad van bestuur en welk deelbelang dan ook, onafhankelijk en kritisch kunnen opereren. Zij zijn geen vertegenwoordiger van enige interne of externe partij van Mondriaan. De leden van de raad van toezicht handelen zonder last of ruggenspraak, maar wel met een brede blik, zich bewust van de maatschappelijke taak van Mondriaan. </w:t>
      </w:r>
    </w:p>
    <w:p w:rsidR="00A05494" w:rsidRDefault="00A05494" w:rsidP="00A05494">
      <w:pPr>
        <w:pStyle w:val="Default"/>
        <w:rPr>
          <w:sz w:val="22"/>
          <w:szCs w:val="22"/>
        </w:rPr>
      </w:pPr>
      <w:r>
        <w:rPr>
          <w:sz w:val="22"/>
          <w:szCs w:val="22"/>
        </w:rPr>
        <w:t xml:space="preserve">De raad van toezicht bepaalt zijn eigen agenda. De raad van toezicht beziet in samenwerking met de raad van bestuur wat in het veranderende zorglandschap met betrekking tot de geestelijke gezondheidszorg de rol en positionering is van Mondriaan, waarbij kansen en bedreigingen voor de toekomst van Mondriaan en de zorg voor haar patiënten in beeld zijn gebracht. </w:t>
      </w:r>
    </w:p>
    <w:p w:rsidR="00A05494" w:rsidRDefault="00A05494" w:rsidP="00A05494">
      <w:pPr>
        <w:pStyle w:val="Default"/>
        <w:rPr>
          <w:b/>
          <w:bCs/>
          <w:sz w:val="22"/>
          <w:szCs w:val="22"/>
        </w:rPr>
      </w:pPr>
    </w:p>
    <w:p w:rsidR="00A05494" w:rsidRDefault="00A05494" w:rsidP="00A05494">
      <w:pPr>
        <w:pStyle w:val="Default"/>
        <w:rPr>
          <w:sz w:val="22"/>
          <w:szCs w:val="22"/>
        </w:rPr>
      </w:pPr>
      <w:r>
        <w:rPr>
          <w:b/>
          <w:bCs/>
          <w:sz w:val="22"/>
          <w:szCs w:val="22"/>
        </w:rPr>
        <w:t xml:space="preserve">Toezichtkader </w:t>
      </w:r>
    </w:p>
    <w:p w:rsidR="00A05494" w:rsidRDefault="00A05494" w:rsidP="00A05494">
      <w:pPr>
        <w:pStyle w:val="Default"/>
        <w:rPr>
          <w:i/>
          <w:iCs/>
          <w:sz w:val="22"/>
          <w:szCs w:val="22"/>
        </w:rPr>
      </w:pPr>
    </w:p>
    <w:p w:rsidR="00A05494" w:rsidRDefault="00A05494" w:rsidP="00A05494">
      <w:pPr>
        <w:pStyle w:val="Default"/>
        <w:rPr>
          <w:sz w:val="22"/>
          <w:szCs w:val="22"/>
        </w:rPr>
      </w:pPr>
      <w:r>
        <w:rPr>
          <w:i/>
          <w:iCs/>
          <w:sz w:val="22"/>
          <w:szCs w:val="22"/>
        </w:rPr>
        <w:t xml:space="preserve">Rollen c.q. hoofdtaken raad van toezicht </w:t>
      </w:r>
    </w:p>
    <w:p w:rsidR="00A05494" w:rsidRDefault="00A05494" w:rsidP="00A05494">
      <w:pPr>
        <w:pStyle w:val="Default"/>
        <w:rPr>
          <w:sz w:val="22"/>
          <w:szCs w:val="22"/>
        </w:rPr>
      </w:pPr>
    </w:p>
    <w:p w:rsidR="00A05494" w:rsidRDefault="00A05494" w:rsidP="00A05494">
      <w:pPr>
        <w:pStyle w:val="Default"/>
        <w:rPr>
          <w:sz w:val="22"/>
          <w:szCs w:val="22"/>
        </w:rPr>
      </w:pPr>
      <w:r>
        <w:rPr>
          <w:sz w:val="22"/>
          <w:szCs w:val="22"/>
        </w:rPr>
        <w:t xml:space="preserve">Toezicht houden op de kwaliteit en continuïteit van Mondriaan, zowel operationeel als wat betreft de strategische keuzes (positionering, samenwerking, toekomst) en het hanteren van de </w:t>
      </w:r>
      <w:proofErr w:type="spellStart"/>
      <w:r>
        <w:rPr>
          <w:sz w:val="22"/>
          <w:szCs w:val="22"/>
        </w:rPr>
        <w:t>Governancecode</w:t>
      </w:r>
      <w:proofErr w:type="spellEnd"/>
      <w:r>
        <w:rPr>
          <w:sz w:val="22"/>
          <w:szCs w:val="22"/>
        </w:rPr>
        <w:t xml:space="preserve"> Zorg, vanuit het perspectief van het realiseren van de maatschappelijke doelstelling van Mondriaan en de centrale positie van de patiënt daarin. Toetsen of de raad van bestuur alle in aanmerking komende belangen van de bij Mondriaan betrokken belanghebbenden zorgvuldig en evenwichtig heeft afgewogen. </w:t>
      </w:r>
    </w:p>
    <w:p w:rsidR="00A05494" w:rsidRDefault="00A05494" w:rsidP="00A05494">
      <w:pPr>
        <w:pStyle w:val="Default"/>
        <w:rPr>
          <w:sz w:val="22"/>
          <w:szCs w:val="22"/>
        </w:rPr>
      </w:pPr>
      <w:r>
        <w:rPr>
          <w:sz w:val="22"/>
          <w:szCs w:val="22"/>
        </w:rPr>
        <w:t xml:space="preserve">Adviseur/sparringpartner van de raad van bestuur, onder meer wat betreft de strategische positionering van Mondriaan, de organisatievernieuwing, vernieuwing van de zorgverlening, de toekomstbestendigheid van Mondriaan en de samenwerking met (keten)partners. Gevraagd en ongevraagd. </w:t>
      </w:r>
    </w:p>
    <w:p w:rsidR="00035027" w:rsidRDefault="00A05494" w:rsidP="00A05494">
      <w:pPr>
        <w:rPr>
          <w:szCs w:val="22"/>
        </w:rPr>
      </w:pPr>
      <w:r>
        <w:rPr>
          <w:szCs w:val="22"/>
        </w:rPr>
        <w:t>Werkgever zijn van de raad van bestuur, waarbij de raad van toezicht er zorg voor draagt dat de bestuurders geschikt zijn en blijven voor het besturen van Mondriaan.</w:t>
      </w:r>
    </w:p>
    <w:p w:rsidR="00A05494" w:rsidRDefault="00A05494" w:rsidP="00A05494">
      <w:pPr>
        <w:pStyle w:val="Default"/>
        <w:rPr>
          <w:i/>
          <w:iCs/>
          <w:sz w:val="22"/>
          <w:szCs w:val="22"/>
        </w:rPr>
      </w:pPr>
    </w:p>
    <w:p w:rsidR="00A05494" w:rsidRDefault="00A05494" w:rsidP="00A05494">
      <w:pPr>
        <w:pStyle w:val="Default"/>
        <w:rPr>
          <w:sz w:val="22"/>
          <w:szCs w:val="22"/>
        </w:rPr>
      </w:pPr>
      <w:r>
        <w:rPr>
          <w:i/>
          <w:iCs/>
          <w:sz w:val="22"/>
          <w:szCs w:val="22"/>
        </w:rPr>
        <w:t xml:space="preserve">Inrichting van het toezicht </w:t>
      </w:r>
    </w:p>
    <w:p w:rsidR="00A05494" w:rsidRDefault="00A05494" w:rsidP="00A05494">
      <w:pPr>
        <w:pStyle w:val="Default"/>
        <w:rPr>
          <w:sz w:val="22"/>
          <w:szCs w:val="22"/>
        </w:rPr>
      </w:pPr>
    </w:p>
    <w:p w:rsidR="00A05494" w:rsidRDefault="00A05494" w:rsidP="00A05494">
      <w:pPr>
        <w:pStyle w:val="Default"/>
        <w:rPr>
          <w:sz w:val="22"/>
          <w:szCs w:val="22"/>
        </w:rPr>
      </w:pPr>
      <w:r>
        <w:rPr>
          <w:sz w:val="22"/>
          <w:szCs w:val="22"/>
        </w:rPr>
        <w:t xml:space="preserve">De raad van bestuur en de raad van toezicht bepalen ieder vanuit hun eigen rol de inrichting van de </w:t>
      </w:r>
      <w:proofErr w:type="spellStart"/>
      <w:r>
        <w:rPr>
          <w:sz w:val="22"/>
          <w:szCs w:val="22"/>
        </w:rPr>
        <w:t>governance</w:t>
      </w:r>
      <w:proofErr w:type="spellEnd"/>
      <w:r>
        <w:rPr>
          <w:sz w:val="22"/>
          <w:szCs w:val="22"/>
        </w:rPr>
        <w:t xml:space="preserve"> van Mondriaan en zorgen dat de inrichting en de werking voldoen aan de </w:t>
      </w:r>
      <w:proofErr w:type="spellStart"/>
      <w:r>
        <w:rPr>
          <w:sz w:val="22"/>
          <w:szCs w:val="22"/>
        </w:rPr>
        <w:t>Governancecode</w:t>
      </w:r>
      <w:proofErr w:type="spellEnd"/>
      <w:r>
        <w:rPr>
          <w:sz w:val="22"/>
          <w:szCs w:val="22"/>
        </w:rPr>
        <w:t xml:space="preserve"> Zorg. </w:t>
      </w:r>
    </w:p>
    <w:p w:rsidR="00A05494" w:rsidRDefault="00A05494" w:rsidP="00A05494">
      <w:pPr>
        <w:pStyle w:val="Default"/>
        <w:rPr>
          <w:sz w:val="22"/>
          <w:szCs w:val="22"/>
        </w:rPr>
      </w:pPr>
      <w:r>
        <w:rPr>
          <w:sz w:val="22"/>
          <w:szCs w:val="22"/>
        </w:rPr>
        <w:t xml:space="preserve">De raad van toezicht is verantwoordelijk voor de kwaliteit van zijn eigen handelen en de samenstelling. De raad van toezicht doet dat transparant en met inbreng van de raad van bestuur. </w:t>
      </w:r>
    </w:p>
    <w:p w:rsidR="00A05494" w:rsidRDefault="00A05494" w:rsidP="00A05494">
      <w:pPr>
        <w:pStyle w:val="Default"/>
        <w:rPr>
          <w:sz w:val="22"/>
          <w:szCs w:val="22"/>
        </w:rPr>
      </w:pPr>
      <w:r>
        <w:rPr>
          <w:sz w:val="22"/>
          <w:szCs w:val="22"/>
        </w:rPr>
        <w:lastRenderedPageBreak/>
        <w:t>Binnen de raad van toezicht is voldoende zorginhoudelijke kennis, financiële kennis en kennis van het werkveld van Mondriaan aanwezig. Er is een financiële auditcommissie, een zorgcommissie en een werkgeverscommissie samengesteld</w:t>
      </w:r>
      <w:r>
        <w:rPr>
          <w:sz w:val="22"/>
          <w:szCs w:val="22"/>
        </w:rPr>
        <w:t>, telkens</w:t>
      </w:r>
      <w:r>
        <w:rPr>
          <w:sz w:val="22"/>
          <w:szCs w:val="22"/>
        </w:rPr>
        <w:t xml:space="preserve"> uit tenminste twee leden van de raad van toezicht. De verantwoordelijkheden en bevoegdheden van de raad van toezicht worden niet door commissies overgenomen, maar blijven bij de raad van toezicht als geheel liggen. </w:t>
      </w:r>
    </w:p>
    <w:p w:rsidR="00A05494" w:rsidRDefault="00A05494" w:rsidP="00A05494">
      <w:pPr>
        <w:pStyle w:val="Default"/>
        <w:rPr>
          <w:sz w:val="22"/>
          <w:szCs w:val="22"/>
        </w:rPr>
      </w:pPr>
      <w:r>
        <w:rPr>
          <w:sz w:val="22"/>
          <w:szCs w:val="22"/>
        </w:rPr>
        <w:t xml:space="preserve">De raad van toezicht overlegt in de regel zes maal per jaar, doch minimaal vijf maal per jaar, met de raad van bestuur. De agenda van dit overleg wordt bepaald in een zogenoemd agendaoverleg van de voorzitter van de raad van toezicht met de voorzitter van de raad van bestuur. </w:t>
      </w:r>
    </w:p>
    <w:p w:rsidR="00A05494" w:rsidRDefault="00A05494" w:rsidP="00A05494">
      <w:pPr>
        <w:pStyle w:val="Default"/>
        <w:rPr>
          <w:sz w:val="22"/>
          <w:szCs w:val="22"/>
        </w:rPr>
      </w:pPr>
      <w:r>
        <w:rPr>
          <w:sz w:val="22"/>
          <w:szCs w:val="22"/>
        </w:rPr>
        <w:t xml:space="preserve">De raad van toezicht overlegt minimaal eenmaal per jaar met de vertegenwoordigers van de cliëntenraden en de ondernemingsraden. </w:t>
      </w:r>
    </w:p>
    <w:p w:rsidR="00A05494" w:rsidRDefault="00A05494" w:rsidP="00A05494">
      <w:pPr>
        <w:pStyle w:val="Default"/>
        <w:rPr>
          <w:sz w:val="22"/>
          <w:szCs w:val="22"/>
        </w:rPr>
      </w:pPr>
      <w:r>
        <w:rPr>
          <w:sz w:val="22"/>
          <w:szCs w:val="22"/>
        </w:rPr>
        <w:t xml:space="preserve">De raad van toezicht legt verantwoording af van zijn werkzaamheden in zijn jaarverslag. Op de website van Mondriaan is vermeld wie er zitting hebben in de raad van toezicht, welke (neven)functies zij vervullen alsmede het rooster van aftreden en het jaarverslag van de raad van toezicht. </w:t>
      </w:r>
    </w:p>
    <w:p w:rsidR="00A05494" w:rsidRDefault="00A05494" w:rsidP="00A05494">
      <w:pPr>
        <w:pStyle w:val="Default"/>
        <w:rPr>
          <w:i/>
          <w:iCs/>
          <w:sz w:val="22"/>
          <w:szCs w:val="22"/>
        </w:rPr>
      </w:pPr>
    </w:p>
    <w:p w:rsidR="00A05494" w:rsidRDefault="00A05494" w:rsidP="00A05494">
      <w:pPr>
        <w:pStyle w:val="Default"/>
        <w:rPr>
          <w:sz w:val="22"/>
          <w:szCs w:val="22"/>
        </w:rPr>
      </w:pPr>
      <w:r>
        <w:rPr>
          <w:i/>
          <w:iCs/>
          <w:sz w:val="22"/>
          <w:szCs w:val="22"/>
        </w:rPr>
        <w:t xml:space="preserve">Scholing raad van toezicht </w:t>
      </w:r>
    </w:p>
    <w:p w:rsidR="00A05494" w:rsidRDefault="00A05494" w:rsidP="00A05494">
      <w:pPr>
        <w:pStyle w:val="Default"/>
        <w:rPr>
          <w:sz w:val="22"/>
          <w:szCs w:val="22"/>
        </w:rPr>
      </w:pPr>
    </w:p>
    <w:p w:rsidR="00A05494" w:rsidRDefault="00A05494" w:rsidP="00A05494">
      <w:pPr>
        <w:pStyle w:val="Default"/>
        <w:rPr>
          <w:sz w:val="22"/>
          <w:szCs w:val="22"/>
        </w:rPr>
      </w:pPr>
      <w:r>
        <w:rPr>
          <w:sz w:val="22"/>
          <w:szCs w:val="22"/>
        </w:rPr>
        <w:t xml:space="preserve">Conform de </w:t>
      </w:r>
      <w:proofErr w:type="spellStart"/>
      <w:r>
        <w:rPr>
          <w:sz w:val="22"/>
          <w:szCs w:val="22"/>
        </w:rPr>
        <w:t>Governancecode</w:t>
      </w:r>
      <w:proofErr w:type="spellEnd"/>
      <w:r>
        <w:rPr>
          <w:sz w:val="22"/>
          <w:szCs w:val="22"/>
        </w:rPr>
        <w:t xml:space="preserve"> Zorg heeft de raad van toezicht een scholings- en ontwikkelprogramma vastgesteld voor zijn leden. Jaarlijks wordt in het jaarverslag verantwoording afgelegd over de ontwikkeling en scholing van de leden van de raad van toezicht. </w:t>
      </w:r>
      <w:r>
        <w:rPr>
          <w:sz w:val="22"/>
          <w:szCs w:val="22"/>
        </w:rPr>
        <w:t>V</w:t>
      </w:r>
      <w:r>
        <w:rPr>
          <w:sz w:val="22"/>
          <w:szCs w:val="22"/>
        </w:rPr>
        <w:t xml:space="preserve">oor nieuwe leden </w:t>
      </w:r>
      <w:r>
        <w:rPr>
          <w:sz w:val="22"/>
          <w:szCs w:val="22"/>
        </w:rPr>
        <w:t xml:space="preserve">wordt </w:t>
      </w:r>
      <w:r>
        <w:rPr>
          <w:sz w:val="22"/>
          <w:szCs w:val="22"/>
        </w:rPr>
        <w:t xml:space="preserve">telkens een introductieprogramma vastgesteld, in ieder geval bestaande uit het ontvangen alle relevante (jaar) documenten van Mondriaan. </w:t>
      </w:r>
    </w:p>
    <w:p w:rsidR="00A05494" w:rsidRDefault="00A05494" w:rsidP="00A05494">
      <w:pPr>
        <w:pStyle w:val="Default"/>
        <w:rPr>
          <w:i/>
          <w:iCs/>
          <w:sz w:val="22"/>
          <w:szCs w:val="22"/>
        </w:rPr>
      </w:pPr>
    </w:p>
    <w:p w:rsidR="00A05494" w:rsidRDefault="00A05494" w:rsidP="00A05494">
      <w:pPr>
        <w:pStyle w:val="Default"/>
        <w:rPr>
          <w:sz w:val="22"/>
          <w:szCs w:val="22"/>
        </w:rPr>
      </w:pPr>
      <w:r>
        <w:rPr>
          <w:i/>
          <w:iCs/>
          <w:sz w:val="22"/>
          <w:szCs w:val="22"/>
        </w:rPr>
        <w:t xml:space="preserve">Evaluatie functioneren raad van toezicht </w:t>
      </w:r>
    </w:p>
    <w:p w:rsidR="00A05494" w:rsidRDefault="00A05494" w:rsidP="00A05494">
      <w:pPr>
        <w:pStyle w:val="Default"/>
        <w:rPr>
          <w:sz w:val="22"/>
          <w:szCs w:val="22"/>
        </w:rPr>
      </w:pPr>
    </w:p>
    <w:p w:rsidR="00A05494" w:rsidRDefault="00A05494" w:rsidP="00A05494">
      <w:pPr>
        <w:pStyle w:val="Default"/>
        <w:rPr>
          <w:sz w:val="22"/>
          <w:szCs w:val="22"/>
        </w:rPr>
      </w:pPr>
      <w:r>
        <w:rPr>
          <w:sz w:val="22"/>
          <w:szCs w:val="22"/>
        </w:rPr>
        <w:t xml:space="preserve">De raad van toezicht evalueert zijn functioneren ten minste jaarlijks, buiten aanwezigheid van de raad van bestuur maar met diens inbreng. De raad van toezicht zorgt voor vastlegging van de uitkomsten daarvan. Conform de </w:t>
      </w:r>
      <w:proofErr w:type="spellStart"/>
      <w:r>
        <w:rPr>
          <w:sz w:val="22"/>
          <w:szCs w:val="22"/>
        </w:rPr>
        <w:t>Governancecode</w:t>
      </w:r>
      <w:proofErr w:type="spellEnd"/>
      <w:r>
        <w:rPr>
          <w:sz w:val="22"/>
          <w:szCs w:val="22"/>
        </w:rPr>
        <w:t xml:space="preserve"> Zorg geschiedt deze evaluatie ten minste eenmaal per drie jaar onder begeleiding van een onafhankelijke externe deskundige. </w:t>
      </w:r>
    </w:p>
    <w:p w:rsidR="00A05494" w:rsidRDefault="00A05494" w:rsidP="00A05494">
      <w:pPr>
        <w:pStyle w:val="Default"/>
        <w:rPr>
          <w:b/>
          <w:bCs/>
          <w:sz w:val="23"/>
          <w:szCs w:val="23"/>
        </w:rPr>
      </w:pPr>
      <w:bookmarkStart w:id="0" w:name="_GoBack"/>
      <w:bookmarkEnd w:id="0"/>
    </w:p>
    <w:sectPr w:rsidR="00A05494" w:rsidSect="00E60C2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5494"/>
    <w:rsid w:val="0001274E"/>
    <w:rsid w:val="00035027"/>
    <w:rsid w:val="00047BBD"/>
    <w:rsid w:val="00053E44"/>
    <w:rsid w:val="000629B6"/>
    <w:rsid w:val="00065ACD"/>
    <w:rsid w:val="00070ABF"/>
    <w:rsid w:val="000750DD"/>
    <w:rsid w:val="00093067"/>
    <w:rsid w:val="000A1B8D"/>
    <w:rsid w:val="000B1F5B"/>
    <w:rsid w:val="000C24E9"/>
    <w:rsid w:val="000D14DC"/>
    <w:rsid w:val="000D2F02"/>
    <w:rsid w:val="000E1B47"/>
    <w:rsid w:val="000F2EC5"/>
    <w:rsid w:val="0011055D"/>
    <w:rsid w:val="00121DFC"/>
    <w:rsid w:val="00140B5A"/>
    <w:rsid w:val="001419B0"/>
    <w:rsid w:val="00141B6C"/>
    <w:rsid w:val="00146B51"/>
    <w:rsid w:val="00154839"/>
    <w:rsid w:val="00165616"/>
    <w:rsid w:val="00182C71"/>
    <w:rsid w:val="00196150"/>
    <w:rsid w:val="001A095D"/>
    <w:rsid w:val="001A4892"/>
    <w:rsid w:val="001B1DEC"/>
    <w:rsid w:val="001C02FC"/>
    <w:rsid w:val="001D361C"/>
    <w:rsid w:val="001D7F6C"/>
    <w:rsid w:val="001E4793"/>
    <w:rsid w:val="001E4F74"/>
    <w:rsid w:val="002134AD"/>
    <w:rsid w:val="0022197D"/>
    <w:rsid w:val="00225FD8"/>
    <w:rsid w:val="002371CC"/>
    <w:rsid w:val="00260898"/>
    <w:rsid w:val="0026583E"/>
    <w:rsid w:val="00284CFD"/>
    <w:rsid w:val="00284EFF"/>
    <w:rsid w:val="0029638B"/>
    <w:rsid w:val="002A2D65"/>
    <w:rsid w:val="002B3273"/>
    <w:rsid w:val="002B600D"/>
    <w:rsid w:val="002C5D0E"/>
    <w:rsid w:val="002D56CC"/>
    <w:rsid w:val="002F208D"/>
    <w:rsid w:val="00303FE7"/>
    <w:rsid w:val="003105C1"/>
    <w:rsid w:val="00314CD3"/>
    <w:rsid w:val="00320C6F"/>
    <w:rsid w:val="00321EC9"/>
    <w:rsid w:val="0033156E"/>
    <w:rsid w:val="003330E9"/>
    <w:rsid w:val="003336E5"/>
    <w:rsid w:val="00344488"/>
    <w:rsid w:val="00352C66"/>
    <w:rsid w:val="00360D76"/>
    <w:rsid w:val="0036212C"/>
    <w:rsid w:val="00365CA3"/>
    <w:rsid w:val="00381908"/>
    <w:rsid w:val="003A1B29"/>
    <w:rsid w:val="003B4B18"/>
    <w:rsid w:val="003C30E3"/>
    <w:rsid w:val="003C51E2"/>
    <w:rsid w:val="003D27D7"/>
    <w:rsid w:val="003D4778"/>
    <w:rsid w:val="003E0DC4"/>
    <w:rsid w:val="003E7D9B"/>
    <w:rsid w:val="00411CB7"/>
    <w:rsid w:val="0042570E"/>
    <w:rsid w:val="0045273A"/>
    <w:rsid w:val="00466EF5"/>
    <w:rsid w:val="004679A2"/>
    <w:rsid w:val="00473ECD"/>
    <w:rsid w:val="00474B01"/>
    <w:rsid w:val="004779A2"/>
    <w:rsid w:val="00492CBC"/>
    <w:rsid w:val="004B3391"/>
    <w:rsid w:val="004B438C"/>
    <w:rsid w:val="004C6BF3"/>
    <w:rsid w:val="004D266D"/>
    <w:rsid w:val="004D7F88"/>
    <w:rsid w:val="00536267"/>
    <w:rsid w:val="005362C9"/>
    <w:rsid w:val="00550001"/>
    <w:rsid w:val="00552464"/>
    <w:rsid w:val="00553F47"/>
    <w:rsid w:val="00554444"/>
    <w:rsid w:val="00582AA3"/>
    <w:rsid w:val="00597523"/>
    <w:rsid w:val="005B27B0"/>
    <w:rsid w:val="005C0802"/>
    <w:rsid w:val="005C5F96"/>
    <w:rsid w:val="005C6A2C"/>
    <w:rsid w:val="005F31BE"/>
    <w:rsid w:val="005F37BF"/>
    <w:rsid w:val="0060043A"/>
    <w:rsid w:val="00605831"/>
    <w:rsid w:val="00610595"/>
    <w:rsid w:val="00611A56"/>
    <w:rsid w:val="006134B2"/>
    <w:rsid w:val="006219E5"/>
    <w:rsid w:val="00691529"/>
    <w:rsid w:val="006B743F"/>
    <w:rsid w:val="00717CFC"/>
    <w:rsid w:val="00731521"/>
    <w:rsid w:val="00745B1E"/>
    <w:rsid w:val="007624FB"/>
    <w:rsid w:val="007768FE"/>
    <w:rsid w:val="00784609"/>
    <w:rsid w:val="007865BC"/>
    <w:rsid w:val="007B0A19"/>
    <w:rsid w:val="007B3845"/>
    <w:rsid w:val="00816D12"/>
    <w:rsid w:val="00827960"/>
    <w:rsid w:val="0083076C"/>
    <w:rsid w:val="00852C96"/>
    <w:rsid w:val="00885E39"/>
    <w:rsid w:val="00886DA8"/>
    <w:rsid w:val="00896A10"/>
    <w:rsid w:val="008972CB"/>
    <w:rsid w:val="008B032B"/>
    <w:rsid w:val="008C735A"/>
    <w:rsid w:val="008D2B60"/>
    <w:rsid w:val="008F1189"/>
    <w:rsid w:val="009001FC"/>
    <w:rsid w:val="00920099"/>
    <w:rsid w:val="00927071"/>
    <w:rsid w:val="009274DB"/>
    <w:rsid w:val="00936213"/>
    <w:rsid w:val="00945393"/>
    <w:rsid w:val="00951E69"/>
    <w:rsid w:val="00955840"/>
    <w:rsid w:val="00987904"/>
    <w:rsid w:val="00994DFA"/>
    <w:rsid w:val="009B03E2"/>
    <w:rsid w:val="009C053E"/>
    <w:rsid w:val="009D18B9"/>
    <w:rsid w:val="009D380B"/>
    <w:rsid w:val="009E393D"/>
    <w:rsid w:val="009E54D7"/>
    <w:rsid w:val="009F14AA"/>
    <w:rsid w:val="00A00663"/>
    <w:rsid w:val="00A00AEC"/>
    <w:rsid w:val="00A025E3"/>
    <w:rsid w:val="00A05494"/>
    <w:rsid w:val="00A119A9"/>
    <w:rsid w:val="00A21399"/>
    <w:rsid w:val="00A478D4"/>
    <w:rsid w:val="00A51AD0"/>
    <w:rsid w:val="00A53568"/>
    <w:rsid w:val="00A63120"/>
    <w:rsid w:val="00A67C85"/>
    <w:rsid w:val="00A96437"/>
    <w:rsid w:val="00AA0E17"/>
    <w:rsid w:val="00AA4920"/>
    <w:rsid w:val="00AC7B81"/>
    <w:rsid w:val="00AD0258"/>
    <w:rsid w:val="00AD1EDC"/>
    <w:rsid w:val="00AE45DF"/>
    <w:rsid w:val="00AF3986"/>
    <w:rsid w:val="00B014F5"/>
    <w:rsid w:val="00B05864"/>
    <w:rsid w:val="00B15AFB"/>
    <w:rsid w:val="00B16A2D"/>
    <w:rsid w:val="00B5498E"/>
    <w:rsid w:val="00B54D4D"/>
    <w:rsid w:val="00B561FF"/>
    <w:rsid w:val="00B63680"/>
    <w:rsid w:val="00B76E34"/>
    <w:rsid w:val="00B80235"/>
    <w:rsid w:val="00B86E16"/>
    <w:rsid w:val="00BB15E1"/>
    <w:rsid w:val="00BB4ACC"/>
    <w:rsid w:val="00BC1479"/>
    <w:rsid w:val="00BC3FFD"/>
    <w:rsid w:val="00BC6197"/>
    <w:rsid w:val="00BF5BD5"/>
    <w:rsid w:val="00C47220"/>
    <w:rsid w:val="00C7251F"/>
    <w:rsid w:val="00C7746C"/>
    <w:rsid w:val="00C84592"/>
    <w:rsid w:val="00C919B5"/>
    <w:rsid w:val="00C96AB5"/>
    <w:rsid w:val="00CB0E17"/>
    <w:rsid w:val="00CB7BA5"/>
    <w:rsid w:val="00CD1FE3"/>
    <w:rsid w:val="00D120E7"/>
    <w:rsid w:val="00D1538B"/>
    <w:rsid w:val="00D3192E"/>
    <w:rsid w:val="00D674CC"/>
    <w:rsid w:val="00D67E2B"/>
    <w:rsid w:val="00D7520B"/>
    <w:rsid w:val="00D87A5A"/>
    <w:rsid w:val="00DB111E"/>
    <w:rsid w:val="00DB1810"/>
    <w:rsid w:val="00DC4362"/>
    <w:rsid w:val="00DD239D"/>
    <w:rsid w:val="00DD7128"/>
    <w:rsid w:val="00DD77A2"/>
    <w:rsid w:val="00DE219F"/>
    <w:rsid w:val="00DE6210"/>
    <w:rsid w:val="00DE6E9A"/>
    <w:rsid w:val="00DF1FC7"/>
    <w:rsid w:val="00DF26DB"/>
    <w:rsid w:val="00E03B37"/>
    <w:rsid w:val="00E120CA"/>
    <w:rsid w:val="00E145A3"/>
    <w:rsid w:val="00E14EA7"/>
    <w:rsid w:val="00E3488A"/>
    <w:rsid w:val="00E5192E"/>
    <w:rsid w:val="00E60C2C"/>
    <w:rsid w:val="00E74C64"/>
    <w:rsid w:val="00E93469"/>
    <w:rsid w:val="00E94DFC"/>
    <w:rsid w:val="00EA5383"/>
    <w:rsid w:val="00EB00F0"/>
    <w:rsid w:val="00EB519B"/>
    <w:rsid w:val="00ED28A9"/>
    <w:rsid w:val="00ED36B3"/>
    <w:rsid w:val="00EF1013"/>
    <w:rsid w:val="00F04E1A"/>
    <w:rsid w:val="00F06E86"/>
    <w:rsid w:val="00F07021"/>
    <w:rsid w:val="00F170B7"/>
    <w:rsid w:val="00F201B8"/>
    <w:rsid w:val="00F31653"/>
    <w:rsid w:val="00F37A20"/>
    <w:rsid w:val="00F67611"/>
    <w:rsid w:val="00F7233F"/>
    <w:rsid w:val="00F91FE2"/>
    <w:rsid w:val="00F975A3"/>
    <w:rsid w:val="00FB5BDC"/>
    <w:rsid w:val="00FC2C6F"/>
    <w:rsid w:val="00FD245B"/>
    <w:rsid w:val="00FE0604"/>
    <w:rsid w:val="00FE3612"/>
    <w:rsid w:val="00FF5734"/>
    <w:rsid w:val="00FF7C1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BE1307-9C9A-4978-B975-D240983B6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D674CC"/>
    <w:pPr>
      <w:overflowPunct w:val="0"/>
      <w:autoSpaceDE w:val="0"/>
      <w:autoSpaceDN w:val="0"/>
      <w:adjustRightInd w:val="0"/>
      <w:spacing w:after="0" w:line="240" w:lineRule="auto"/>
    </w:pPr>
    <w:rPr>
      <w:rFonts w:ascii="Arial" w:hAnsi="Arial" w:cs="Times New Roman"/>
      <w:szCs w:val="20"/>
      <w:lang w:eastAsia="nl-NL"/>
    </w:rPr>
  </w:style>
  <w:style w:type="paragraph" w:styleId="Kop1">
    <w:name w:val="heading 1"/>
    <w:basedOn w:val="Standaard"/>
    <w:next w:val="Standaard"/>
    <w:link w:val="Kop1Char"/>
    <w:uiPriority w:val="9"/>
    <w:qFormat/>
    <w:rsid w:val="0026583E"/>
    <w:pPr>
      <w:keepNext/>
      <w:keepLines/>
      <w:spacing w:before="480"/>
      <w:textAlignment w:val="baseline"/>
      <w:outlineLvl w:val="0"/>
    </w:pPr>
    <w:rPr>
      <w:rFonts w:eastAsiaTheme="majorEastAsia" w:cstheme="majorBidi"/>
      <w:b/>
      <w:bCs/>
      <w:sz w:val="32"/>
      <w:szCs w:val="28"/>
    </w:rPr>
  </w:style>
  <w:style w:type="paragraph" w:styleId="Kop2">
    <w:name w:val="heading 2"/>
    <w:basedOn w:val="Standaard"/>
    <w:next w:val="Standaard"/>
    <w:link w:val="Kop2Char"/>
    <w:uiPriority w:val="9"/>
    <w:unhideWhenUsed/>
    <w:qFormat/>
    <w:rsid w:val="0026583E"/>
    <w:pPr>
      <w:keepNext/>
      <w:keepLines/>
      <w:spacing w:before="200"/>
      <w:textAlignment w:val="baseline"/>
      <w:outlineLvl w:val="1"/>
    </w:pPr>
    <w:rPr>
      <w:rFonts w:eastAsiaTheme="majorEastAsia" w:cstheme="majorBidi"/>
      <w:b/>
      <w:bCs/>
      <w:sz w:val="28"/>
      <w:szCs w:val="26"/>
    </w:rPr>
  </w:style>
  <w:style w:type="paragraph" w:styleId="Kop3">
    <w:name w:val="heading 3"/>
    <w:basedOn w:val="Standaard"/>
    <w:next w:val="Standaard"/>
    <w:link w:val="Kop3Char"/>
    <w:uiPriority w:val="9"/>
    <w:unhideWhenUsed/>
    <w:qFormat/>
    <w:rsid w:val="0026583E"/>
    <w:pPr>
      <w:keepNext/>
      <w:keepLines/>
      <w:spacing w:before="200"/>
      <w:textAlignment w:val="baseline"/>
      <w:outlineLvl w:val="2"/>
    </w:pPr>
    <w:rPr>
      <w:rFonts w:eastAsiaTheme="majorEastAsia" w:cstheme="majorBidi"/>
      <w:b/>
      <w:bCs/>
      <w:sz w:val="24"/>
    </w:rPr>
  </w:style>
  <w:style w:type="paragraph" w:styleId="Kop4">
    <w:name w:val="heading 4"/>
    <w:basedOn w:val="Standaard"/>
    <w:next w:val="Standaard"/>
    <w:link w:val="Kop4Char"/>
    <w:uiPriority w:val="9"/>
    <w:unhideWhenUsed/>
    <w:qFormat/>
    <w:rsid w:val="0026583E"/>
    <w:pPr>
      <w:keepNext/>
      <w:keepLines/>
      <w:spacing w:before="200"/>
      <w:textAlignment w:val="baseline"/>
      <w:outlineLvl w:val="3"/>
    </w:pPr>
    <w:rPr>
      <w:rFonts w:eastAsiaTheme="majorEastAsia" w:cstheme="majorBidi"/>
      <w:b/>
      <w:bCs/>
      <w:iCs/>
    </w:rPr>
  </w:style>
  <w:style w:type="paragraph" w:styleId="Kop5">
    <w:name w:val="heading 5"/>
    <w:basedOn w:val="Standaard"/>
    <w:next w:val="Standaard"/>
    <w:link w:val="Kop5Char"/>
    <w:uiPriority w:val="9"/>
    <w:unhideWhenUsed/>
    <w:qFormat/>
    <w:rsid w:val="0026583E"/>
    <w:pPr>
      <w:keepNext/>
      <w:keepLines/>
      <w:spacing w:before="200"/>
      <w:textAlignment w:val="baseline"/>
      <w:outlineLvl w:val="4"/>
    </w:pPr>
    <w:rPr>
      <w:rFonts w:eastAsiaTheme="majorEastAsia" w:cstheme="majorBidi"/>
    </w:rPr>
  </w:style>
  <w:style w:type="paragraph" w:styleId="Kop6">
    <w:name w:val="heading 6"/>
    <w:basedOn w:val="Standaard"/>
    <w:next w:val="Standaard"/>
    <w:link w:val="Kop6Char"/>
    <w:uiPriority w:val="9"/>
    <w:unhideWhenUsed/>
    <w:qFormat/>
    <w:rsid w:val="0026583E"/>
    <w:pPr>
      <w:keepNext/>
      <w:keepLines/>
      <w:spacing w:before="200"/>
      <w:textAlignment w:val="baseline"/>
      <w:outlineLvl w:val="5"/>
    </w:pPr>
    <w:rPr>
      <w:rFonts w:eastAsiaTheme="majorEastAsia" w:cstheme="majorBidi"/>
      <w:i/>
      <w:iCs/>
    </w:rPr>
  </w:style>
  <w:style w:type="paragraph" w:styleId="Kop7">
    <w:name w:val="heading 7"/>
    <w:basedOn w:val="Standaard"/>
    <w:next w:val="Standaard"/>
    <w:link w:val="Kop7Char"/>
    <w:uiPriority w:val="9"/>
    <w:unhideWhenUsed/>
    <w:qFormat/>
    <w:rsid w:val="0026583E"/>
    <w:pPr>
      <w:keepNext/>
      <w:keepLines/>
      <w:spacing w:before="200"/>
      <w:textAlignment w:val="baseline"/>
      <w:outlineLvl w:val="6"/>
    </w:pPr>
    <w:rPr>
      <w:rFonts w:eastAsiaTheme="majorEastAsia" w:cstheme="majorBidi"/>
      <w:iCs/>
      <w:color w:val="404040" w:themeColor="text1" w:themeTint="BF"/>
    </w:rPr>
  </w:style>
  <w:style w:type="paragraph" w:styleId="Kop8">
    <w:name w:val="heading 8"/>
    <w:basedOn w:val="Standaard"/>
    <w:next w:val="Standaard"/>
    <w:link w:val="Kop8Char"/>
    <w:uiPriority w:val="9"/>
    <w:unhideWhenUsed/>
    <w:qFormat/>
    <w:rsid w:val="004B438C"/>
    <w:pPr>
      <w:keepNext/>
      <w:keepLines/>
      <w:spacing w:before="200"/>
      <w:textAlignment w:val="baseline"/>
      <w:outlineLvl w:val="7"/>
    </w:pPr>
    <w:rPr>
      <w:rFonts w:eastAsiaTheme="majorEastAsia" w:cstheme="majorBidi"/>
      <w:color w:val="404040" w:themeColor="text1" w:themeTint="BF"/>
      <w:sz w:val="20"/>
    </w:rPr>
  </w:style>
  <w:style w:type="paragraph" w:styleId="Kop9">
    <w:name w:val="heading 9"/>
    <w:basedOn w:val="Standaard"/>
    <w:next w:val="Standaard"/>
    <w:link w:val="Kop9Char"/>
    <w:uiPriority w:val="9"/>
    <w:unhideWhenUsed/>
    <w:qFormat/>
    <w:rsid w:val="004B438C"/>
    <w:pPr>
      <w:keepNext/>
      <w:keepLines/>
      <w:spacing w:before="200"/>
      <w:textAlignment w:val="baseline"/>
      <w:outlineLvl w:val="8"/>
    </w:pPr>
    <w:rPr>
      <w:rFonts w:eastAsiaTheme="majorEastAsia" w:cstheme="majorBidi"/>
      <w:i/>
      <w:iCs/>
      <w:color w:val="404040" w:themeColor="text1" w:themeTint="BF"/>
      <w:sz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26583E"/>
    <w:pPr>
      <w:spacing w:after="0" w:line="240" w:lineRule="auto"/>
    </w:pPr>
    <w:rPr>
      <w:rFonts w:ascii="Arial" w:hAnsi="Arial"/>
    </w:rPr>
  </w:style>
  <w:style w:type="character" w:customStyle="1" w:styleId="Kop1Char">
    <w:name w:val="Kop 1 Char"/>
    <w:basedOn w:val="Standaardalinea-lettertype"/>
    <w:link w:val="Kop1"/>
    <w:uiPriority w:val="9"/>
    <w:rsid w:val="0026583E"/>
    <w:rPr>
      <w:rFonts w:ascii="Arial" w:eastAsiaTheme="majorEastAsia" w:hAnsi="Arial" w:cstheme="majorBidi"/>
      <w:b/>
      <w:bCs/>
      <w:sz w:val="32"/>
      <w:szCs w:val="28"/>
    </w:rPr>
  </w:style>
  <w:style w:type="character" w:customStyle="1" w:styleId="Kop2Char">
    <w:name w:val="Kop 2 Char"/>
    <w:basedOn w:val="Standaardalinea-lettertype"/>
    <w:link w:val="Kop2"/>
    <w:uiPriority w:val="9"/>
    <w:rsid w:val="0026583E"/>
    <w:rPr>
      <w:rFonts w:ascii="Arial" w:eastAsiaTheme="majorEastAsia" w:hAnsi="Arial" w:cstheme="majorBidi"/>
      <w:b/>
      <w:bCs/>
      <w:sz w:val="28"/>
      <w:szCs w:val="26"/>
    </w:rPr>
  </w:style>
  <w:style w:type="character" w:customStyle="1" w:styleId="Kop3Char">
    <w:name w:val="Kop 3 Char"/>
    <w:basedOn w:val="Standaardalinea-lettertype"/>
    <w:link w:val="Kop3"/>
    <w:uiPriority w:val="9"/>
    <w:rsid w:val="0026583E"/>
    <w:rPr>
      <w:rFonts w:ascii="Arial" w:eastAsiaTheme="majorEastAsia" w:hAnsi="Arial" w:cstheme="majorBidi"/>
      <w:b/>
      <w:bCs/>
      <w:sz w:val="24"/>
    </w:rPr>
  </w:style>
  <w:style w:type="character" w:customStyle="1" w:styleId="Kop4Char">
    <w:name w:val="Kop 4 Char"/>
    <w:basedOn w:val="Standaardalinea-lettertype"/>
    <w:link w:val="Kop4"/>
    <w:uiPriority w:val="9"/>
    <w:rsid w:val="0026583E"/>
    <w:rPr>
      <w:rFonts w:ascii="Arial" w:eastAsiaTheme="majorEastAsia" w:hAnsi="Arial" w:cstheme="majorBidi"/>
      <w:b/>
      <w:bCs/>
      <w:iCs/>
    </w:rPr>
  </w:style>
  <w:style w:type="character" w:customStyle="1" w:styleId="Kop5Char">
    <w:name w:val="Kop 5 Char"/>
    <w:basedOn w:val="Standaardalinea-lettertype"/>
    <w:link w:val="Kop5"/>
    <w:uiPriority w:val="9"/>
    <w:rsid w:val="0026583E"/>
    <w:rPr>
      <w:rFonts w:ascii="Arial" w:eastAsiaTheme="majorEastAsia" w:hAnsi="Arial" w:cstheme="majorBidi"/>
    </w:rPr>
  </w:style>
  <w:style w:type="character" w:customStyle="1" w:styleId="Kop6Char">
    <w:name w:val="Kop 6 Char"/>
    <w:basedOn w:val="Standaardalinea-lettertype"/>
    <w:link w:val="Kop6"/>
    <w:uiPriority w:val="9"/>
    <w:rsid w:val="0026583E"/>
    <w:rPr>
      <w:rFonts w:ascii="Arial" w:eastAsiaTheme="majorEastAsia" w:hAnsi="Arial" w:cstheme="majorBidi"/>
      <w:i/>
      <w:iCs/>
    </w:rPr>
  </w:style>
  <w:style w:type="paragraph" w:styleId="Titel">
    <w:name w:val="Title"/>
    <w:basedOn w:val="Standaard"/>
    <w:next w:val="Standaard"/>
    <w:link w:val="TitelChar"/>
    <w:uiPriority w:val="10"/>
    <w:qFormat/>
    <w:rsid w:val="0026583E"/>
    <w:pPr>
      <w:pBdr>
        <w:bottom w:val="single" w:sz="8" w:space="4" w:color="4F81BD" w:themeColor="accent1"/>
      </w:pBdr>
      <w:spacing w:after="300"/>
      <w:contextualSpacing/>
      <w:textAlignment w:val="baseline"/>
    </w:pPr>
    <w:rPr>
      <w:rFonts w:eastAsiaTheme="majorEastAsia" w:cstheme="majorBidi"/>
      <w:color w:val="365F91" w:themeColor="accent1" w:themeShade="BF"/>
      <w:spacing w:val="5"/>
      <w:kern w:val="28"/>
      <w:sz w:val="52"/>
      <w:szCs w:val="52"/>
    </w:rPr>
  </w:style>
  <w:style w:type="character" w:customStyle="1" w:styleId="TitelChar">
    <w:name w:val="Titel Char"/>
    <w:basedOn w:val="Standaardalinea-lettertype"/>
    <w:link w:val="Titel"/>
    <w:uiPriority w:val="10"/>
    <w:rsid w:val="0026583E"/>
    <w:rPr>
      <w:rFonts w:ascii="Arial" w:eastAsiaTheme="majorEastAsia" w:hAnsi="Arial" w:cstheme="majorBidi"/>
      <w:color w:val="365F91" w:themeColor="accent1" w:themeShade="BF"/>
      <w:spacing w:val="5"/>
      <w:kern w:val="28"/>
      <w:sz w:val="52"/>
      <w:szCs w:val="52"/>
    </w:rPr>
  </w:style>
  <w:style w:type="paragraph" w:styleId="Ondertitel">
    <w:name w:val="Subtitle"/>
    <w:basedOn w:val="Standaard"/>
    <w:next w:val="Standaard"/>
    <w:link w:val="OndertitelChar"/>
    <w:uiPriority w:val="11"/>
    <w:qFormat/>
    <w:rsid w:val="0026583E"/>
    <w:pPr>
      <w:numPr>
        <w:ilvl w:val="1"/>
      </w:numPr>
      <w:textAlignment w:val="baseline"/>
    </w:pPr>
    <w:rPr>
      <w:rFonts w:eastAsiaTheme="majorEastAsia" w:cstheme="majorBidi"/>
      <w:i/>
      <w:iCs/>
      <w:color w:val="365F91" w:themeColor="accent1" w:themeShade="BF"/>
      <w:spacing w:val="15"/>
      <w:sz w:val="24"/>
      <w:szCs w:val="24"/>
    </w:rPr>
  </w:style>
  <w:style w:type="character" w:customStyle="1" w:styleId="OndertitelChar">
    <w:name w:val="Ondertitel Char"/>
    <w:basedOn w:val="Standaardalinea-lettertype"/>
    <w:link w:val="Ondertitel"/>
    <w:uiPriority w:val="11"/>
    <w:rsid w:val="0026583E"/>
    <w:rPr>
      <w:rFonts w:ascii="Arial" w:eastAsiaTheme="majorEastAsia" w:hAnsi="Arial" w:cstheme="majorBidi"/>
      <w:i/>
      <w:iCs/>
      <w:color w:val="365F91" w:themeColor="accent1" w:themeShade="BF"/>
      <w:spacing w:val="15"/>
      <w:sz w:val="24"/>
      <w:szCs w:val="24"/>
    </w:rPr>
  </w:style>
  <w:style w:type="character" w:styleId="Subtielebenadrukking">
    <w:name w:val="Subtle Emphasis"/>
    <w:basedOn w:val="Standaardalinea-lettertype"/>
    <w:uiPriority w:val="19"/>
    <w:qFormat/>
    <w:rsid w:val="0026583E"/>
    <w:rPr>
      <w:i/>
      <w:iCs/>
      <w:color w:val="808080" w:themeColor="text1" w:themeTint="7F"/>
    </w:rPr>
  </w:style>
  <w:style w:type="character" w:customStyle="1" w:styleId="Kop7Char">
    <w:name w:val="Kop 7 Char"/>
    <w:basedOn w:val="Standaardalinea-lettertype"/>
    <w:link w:val="Kop7"/>
    <w:uiPriority w:val="9"/>
    <w:rsid w:val="0026583E"/>
    <w:rPr>
      <w:rFonts w:ascii="Arial" w:eastAsiaTheme="majorEastAsia" w:hAnsi="Arial" w:cstheme="majorBidi"/>
      <w:iCs/>
      <w:color w:val="404040" w:themeColor="text1" w:themeTint="BF"/>
    </w:rPr>
  </w:style>
  <w:style w:type="character" w:styleId="Subtieleverwijzing">
    <w:name w:val="Subtle Reference"/>
    <w:basedOn w:val="Standaardalinea-lettertype"/>
    <w:uiPriority w:val="31"/>
    <w:qFormat/>
    <w:rsid w:val="0026583E"/>
    <w:rPr>
      <w:smallCaps/>
      <w:color w:val="C0504D" w:themeColor="accent2"/>
      <w:u w:val="single"/>
    </w:rPr>
  </w:style>
  <w:style w:type="character" w:styleId="Intensievebenadrukking">
    <w:name w:val="Intense Emphasis"/>
    <w:basedOn w:val="Standaardalinea-lettertype"/>
    <w:uiPriority w:val="21"/>
    <w:qFormat/>
    <w:rsid w:val="004B438C"/>
    <w:rPr>
      <w:b/>
      <w:bCs/>
      <w:i/>
      <w:iCs/>
      <w:color w:val="17365D" w:themeColor="text2" w:themeShade="BF"/>
    </w:rPr>
  </w:style>
  <w:style w:type="paragraph" w:styleId="Duidelijkcitaat">
    <w:name w:val="Intense Quote"/>
    <w:basedOn w:val="Standaard"/>
    <w:next w:val="Standaard"/>
    <w:link w:val="DuidelijkcitaatChar"/>
    <w:uiPriority w:val="30"/>
    <w:qFormat/>
    <w:rsid w:val="004B438C"/>
    <w:pPr>
      <w:pBdr>
        <w:bottom w:val="single" w:sz="4" w:space="4" w:color="4F81BD" w:themeColor="accent1"/>
      </w:pBdr>
      <w:spacing w:before="200" w:after="280"/>
      <w:ind w:left="936" w:right="936"/>
      <w:textAlignment w:val="baseline"/>
    </w:pPr>
    <w:rPr>
      <w:b/>
      <w:bCs/>
      <w:i/>
      <w:iCs/>
      <w:color w:val="365F91" w:themeColor="accent1" w:themeShade="BF"/>
    </w:rPr>
  </w:style>
  <w:style w:type="character" w:customStyle="1" w:styleId="DuidelijkcitaatChar">
    <w:name w:val="Duidelijk citaat Char"/>
    <w:basedOn w:val="Standaardalinea-lettertype"/>
    <w:link w:val="Duidelijkcitaat"/>
    <w:uiPriority w:val="30"/>
    <w:rsid w:val="004B438C"/>
    <w:rPr>
      <w:rFonts w:ascii="Arial" w:hAnsi="Arial"/>
      <w:b/>
      <w:bCs/>
      <w:i/>
      <w:iCs/>
      <w:color w:val="365F91" w:themeColor="accent1" w:themeShade="BF"/>
    </w:rPr>
  </w:style>
  <w:style w:type="character" w:customStyle="1" w:styleId="Kop8Char">
    <w:name w:val="Kop 8 Char"/>
    <w:basedOn w:val="Standaardalinea-lettertype"/>
    <w:link w:val="Kop8"/>
    <w:uiPriority w:val="9"/>
    <w:rsid w:val="004B438C"/>
    <w:rPr>
      <w:rFonts w:ascii="Arial" w:eastAsiaTheme="majorEastAsia" w:hAnsi="Arial" w:cstheme="majorBidi"/>
      <w:color w:val="404040" w:themeColor="text1" w:themeTint="BF"/>
      <w:sz w:val="20"/>
      <w:szCs w:val="20"/>
    </w:rPr>
  </w:style>
  <w:style w:type="character" w:customStyle="1" w:styleId="Kop9Char">
    <w:name w:val="Kop 9 Char"/>
    <w:basedOn w:val="Standaardalinea-lettertype"/>
    <w:link w:val="Kop9"/>
    <w:uiPriority w:val="9"/>
    <w:rsid w:val="004B438C"/>
    <w:rPr>
      <w:rFonts w:ascii="Arial" w:eastAsiaTheme="majorEastAsia" w:hAnsi="Arial" w:cstheme="majorBidi"/>
      <w:i/>
      <w:iCs/>
      <w:color w:val="404040" w:themeColor="text1" w:themeTint="BF"/>
      <w:sz w:val="20"/>
      <w:szCs w:val="20"/>
    </w:rPr>
  </w:style>
  <w:style w:type="paragraph" w:styleId="Ballontekst">
    <w:name w:val="Balloon Text"/>
    <w:basedOn w:val="Standaard"/>
    <w:link w:val="BallontekstChar"/>
    <w:uiPriority w:val="99"/>
    <w:semiHidden/>
    <w:unhideWhenUsed/>
    <w:rsid w:val="004B438C"/>
    <w:pPr>
      <w:textAlignment w:val="baseline"/>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4B438C"/>
    <w:rPr>
      <w:rFonts w:ascii="Tahoma" w:hAnsi="Tahoma" w:cs="Tahoma"/>
      <w:sz w:val="16"/>
      <w:szCs w:val="16"/>
    </w:rPr>
  </w:style>
  <w:style w:type="table" w:styleId="Tabelraster">
    <w:name w:val="Table Grid"/>
    <w:basedOn w:val="Standaardtabel"/>
    <w:rsid w:val="002D56CC"/>
    <w:pPr>
      <w:spacing w:after="0" w:line="240" w:lineRule="auto"/>
    </w:pPr>
    <w:rPr>
      <w:rFonts w:ascii="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kstvantijdelijkeaanduiding">
    <w:name w:val="Placeholder Text"/>
    <w:basedOn w:val="Standaardalinea-lettertype"/>
    <w:uiPriority w:val="99"/>
    <w:rsid w:val="00F07021"/>
    <w:rPr>
      <w:color w:val="808080"/>
    </w:rPr>
  </w:style>
  <w:style w:type="paragraph" w:customStyle="1" w:styleId="Default">
    <w:name w:val="Default"/>
    <w:rsid w:val="00A05494"/>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0479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AA3C383-8E66-4B58-8DFE-522DCCE359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206785FE</Template>
  <TotalTime>10</TotalTime>
  <Pages>2</Pages>
  <Words>835</Words>
  <Characters>4595</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Mondriaan</Company>
  <LinksUpToDate>false</LinksUpToDate>
  <CharactersWithSpaces>5420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Hans van Reen</dc:creator>
  <cp:keywords/>
  <dc:description/>
  <cp:lastModifiedBy>Hans van Reen</cp:lastModifiedBy>
  <cp:revision>1</cp:revision>
  <dcterms:created xsi:type="dcterms:W3CDTF">2019-06-26T12:51:00Z</dcterms:created>
  <dcterms:modified xsi:type="dcterms:W3CDTF">2019-06-26T13:01:00Z</dcterms:modified>
</cp:coreProperties>
</file>